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035FE" w14:textId="77777777" w:rsidR="0010484F" w:rsidRDefault="00A53799" w:rsidP="00A73118">
      <w:pPr>
        <w:spacing w:after="0" w:line="240" w:lineRule="auto"/>
        <w:rPr>
          <w:rFonts w:ascii="Georgia" w:eastAsia="Times New Roman" w:hAnsi="Georgia" w:cs="Arial"/>
          <w:bCs/>
          <w:color w:val="003768"/>
          <w:sz w:val="56"/>
          <w:szCs w:val="56"/>
          <w:lang w:eastAsia="en-GB"/>
        </w:rPr>
      </w:pPr>
      <w:bookmarkStart w:id="0" w:name="_GoBack"/>
      <w:bookmarkEnd w:id="0"/>
      <w:r w:rsidRPr="0010484F">
        <w:rPr>
          <w:rFonts w:ascii="Georgia" w:eastAsia="Times New Roman" w:hAnsi="Georgia" w:cs="Arial"/>
          <w:bCs/>
          <w:noProof/>
          <w:color w:val="003768"/>
          <w:sz w:val="56"/>
          <w:szCs w:val="56"/>
          <w:lang w:eastAsia="en-GB"/>
        </w:rPr>
        <mc:AlternateContent>
          <mc:Choice Requires="wps">
            <w:drawing>
              <wp:anchor distT="0" distB="0" distL="114300" distR="114300" simplePos="0" relativeHeight="251657728" behindDoc="0" locked="0" layoutInCell="1" allowOverlap="1" wp14:anchorId="39AAFB51" wp14:editId="3CBF4B39">
                <wp:simplePos x="0" y="0"/>
                <wp:positionH relativeFrom="column">
                  <wp:posOffset>-152400</wp:posOffset>
                </wp:positionH>
                <wp:positionV relativeFrom="paragraph">
                  <wp:posOffset>328105</wp:posOffset>
                </wp:positionV>
                <wp:extent cx="8808720" cy="2674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8720" cy="2674620"/>
                        </a:xfrm>
                        <a:prstGeom prst="rect">
                          <a:avLst/>
                        </a:prstGeom>
                        <a:noFill/>
                        <a:ln w="9525">
                          <a:noFill/>
                          <a:miter lim="800000"/>
                          <a:headEnd/>
                          <a:tailEnd/>
                        </a:ln>
                      </wps:spPr>
                      <wps:txbx>
                        <w:txbxContent>
                          <w:p w14:paraId="6D923A2C" w14:textId="58B5A3EF" w:rsidR="000E31EA" w:rsidRPr="00FA6B89" w:rsidRDefault="000E31EA" w:rsidP="008F40A9">
                            <w:pPr>
                              <w:spacing w:line="240" w:lineRule="auto"/>
                              <w:rPr>
                                <w:sz w:val="132"/>
                                <w:szCs w:val="132"/>
                              </w:rPr>
                            </w:pPr>
                            <w:r>
                              <w:rPr>
                                <w:rFonts w:ascii="Georgia" w:hAnsi="Georgia"/>
                                <w:color w:val="4E8ABE"/>
                                <w:sz w:val="132"/>
                                <w:szCs w:val="132"/>
                              </w:rPr>
                              <w:t>Ormiston Academies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AFB51" id="_x0000_t202" coordsize="21600,21600" o:spt="202" path="m,l,21600r21600,l21600,xe">
                <v:stroke joinstyle="miter"/>
                <v:path gradientshapeok="t" o:connecttype="rect"/>
              </v:shapetype>
              <v:shape id="Text Box 2" o:spid="_x0000_s1026" type="#_x0000_t202" style="position:absolute;margin-left:-12pt;margin-top:25.85pt;width:693.6pt;height:2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" filled="f" stroked="f">
                <v:textbox>
                  <w:txbxContent>
                    <w:p w14:paraId="6D923A2C" w14:textId="58B5A3EF" w:rsidR="000E31EA" w:rsidRPr="00FA6B89" w:rsidRDefault="000E31EA" w:rsidP="008F40A9">
                      <w:pPr>
                        <w:spacing w:line="240" w:lineRule="auto"/>
                        <w:rPr>
                          <w:sz w:val="132"/>
                          <w:szCs w:val="132"/>
                        </w:rPr>
                      </w:pPr>
                      <w:r>
                        <w:rPr>
                          <w:rFonts w:ascii="Georgia" w:hAnsi="Georgia"/>
                          <w:color w:val="4E8ABE"/>
                          <w:sz w:val="132"/>
                          <w:szCs w:val="132"/>
                        </w:rPr>
                        <w:t>Ormiston Academies Trust</w:t>
                      </w:r>
                    </w:p>
                  </w:txbxContent>
                </v:textbox>
              </v:shape>
            </w:pict>
          </mc:Fallback>
        </mc:AlternateContent>
      </w:r>
    </w:p>
    <w:p w14:paraId="14843D8C" w14:textId="77777777" w:rsidR="0010484F" w:rsidRPr="0010484F" w:rsidRDefault="00697F20" w:rsidP="0010484F">
      <w:pPr>
        <w:rPr>
          <w:rFonts w:ascii="Georgia" w:eastAsia="Times New Roman" w:hAnsi="Georgia" w:cs="Arial"/>
          <w:sz w:val="56"/>
          <w:szCs w:val="56"/>
          <w:lang w:eastAsia="en-GB"/>
        </w:rPr>
        <w:sectPr w:rsidR="0010484F" w:rsidRPr="0010484F" w:rsidSect="00880091">
          <w:footerReference w:type="default" r:id="rId13"/>
          <w:pgSz w:w="16838" w:h="11906" w:orient="landscape"/>
          <w:pgMar w:top="1440" w:right="1440" w:bottom="1440" w:left="1440" w:header="708" w:footer="708" w:gutter="0"/>
          <w:cols w:space="708"/>
          <w:titlePg/>
          <w:docGrid w:linePitch="360"/>
        </w:sectPr>
      </w:pPr>
      <w:r w:rsidRPr="00A53799">
        <w:rPr>
          <w:rFonts w:ascii="Georgia" w:eastAsia="Times New Roman" w:hAnsi="Georgia" w:cs="Arial"/>
          <w:noProof/>
          <w:sz w:val="56"/>
          <w:szCs w:val="56"/>
          <w:lang w:eastAsia="en-GB"/>
        </w:rPr>
        <mc:AlternateContent>
          <mc:Choice Requires="wps">
            <w:drawing>
              <wp:anchor distT="0" distB="0" distL="114300" distR="114300" simplePos="0" relativeHeight="251654144" behindDoc="0" locked="0" layoutInCell="1" allowOverlap="1" wp14:anchorId="6EA07162" wp14:editId="11B5A81F">
                <wp:simplePos x="0" y="0"/>
                <wp:positionH relativeFrom="column">
                  <wp:posOffset>-131255</wp:posOffset>
                </wp:positionH>
                <wp:positionV relativeFrom="paragraph">
                  <wp:posOffset>3600450</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A305E89" w14:textId="452A5D03" w:rsidR="000E31EA" w:rsidRPr="003132DD" w:rsidRDefault="000E31EA" w:rsidP="00A53799">
                            <w:pPr>
                              <w:spacing w:after="120" w:line="240" w:lineRule="auto"/>
                              <w:rPr>
                                <w:color w:val="4E8ABE"/>
                                <w:sz w:val="36"/>
                                <w:szCs w:val="36"/>
                              </w:rPr>
                            </w:pPr>
                            <w:r>
                              <w:rPr>
                                <w:color w:val="4E8ABE"/>
                                <w:sz w:val="36"/>
                                <w:szCs w:val="36"/>
                              </w:rPr>
                              <w:t>August</w:t>
                            </w:r>
                            <w:r w:rsidRPr="003132DD">
                              <w:rPr>
                                <w:color w:val="4E8ABE"/>
                                <w:sz w:val="36"/>
                                <w:szCs w:val="36"/>
                              </w:rPr>
                              <w:t xml:space="preserve">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A07162" id="_x0000_s1027" type="#_x0000_t202" style="position:absolute;margin-left:-10.35pt;margin-top:283.5pt;width:186.95pt;height:110.5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jHEAIAAPo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" filled="f" stroked="f">
                <v:textbox style="mso-fit-shape-to-text:t">
                  <w:txbxContent>
                    <w:p w14:paraId="1A305E89" w14:textId="452A5D03" w:rsidR="000E31EA" w:rsidRPr="003132DD" w:rsidRDefault="000E31EA" w:rsidP="00A53799">
                      <w:pPr>
                        <w:spacing w:after="120" w:line="240" w:lineRule="auto"/>
                        <w:rPr>
                          <w:color w:val="4E8ABE"/>
                          <w:sz w:val="36"/>
                          <w:szCs w:val="36"/>
                        </w:rPr>
                      </w:pPr>
                      <w:r>
                        <w:rPr>
                          <w:color w:val="4E8ABE"/>
                          <w:sz w:val="36"/>
                          <w:szCs w:val="36"/>
                        </w:rPr>
                        <w:t>August</w:t>
                      </w:r>
                      <w:r w:rsidRPr="003132DD">
                        <w:rPr>
                          <w:color w:val="4E8ABE"/>
                          <w:sz w:val="36"/>
                          <w:szCs w:val="36"/>
                        </w:rPr>
                        <w:t xml:space="preserve"> 2019</w:t>
                      </w:r>
                    </w:p>
                  </w:txbxContent>
                </v:textbox>
              </v:shape>
            </w:pict>
          </mc:Fallback>
        </mc:AlternateContent>
      </w:r>
      <w:r>
        <w:rPr>
          <w:rFonts w:ascii="Georgia" w:eastAsia="Times New Roman" w:hAnsi="Georgia" w:cs="Arial"/>
          <w:noProof/>
          <w:sz w:val="56"/>
          <w:szCs w:val="56"/>
          <w:lang w:eastAsia="en-GB"/>
        </w:rPr>
        <w:drawing>
          <wp:anchor distT="0" distB="0" distL="114300" distR="114300" simplePos="0" relativeHeight="251651072" behindDoc="1" locked="0" layoutInCell="1" allowOverlap="1" wp14:anchorId="2D580B12" wp14:editId="00FF5BA6">
            <wp:simplePos x="0" y="0"/>
            <wp:positionH relativeFrom="column">
              <wp:posOffset>-37465</wp:posOffset>
            </wp:positionH>
            <wp:positionV relativeFrom="paragraph">
              <wp:posOffset>2399030</wp:posOffset>
            </wp:positionV>
            <wp:extent cx="5524500" cy="76200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83F">
        <w:rPr>
          <w:rFonts w:ascii="Georgia" w:eastAsia="Times New Roman" w:hAnsi="Georgia" w:cs="Arial"/>
          <w:noProof/>
          <w:sz w:val="56"/>
          <w:szCs w:val="56"/>
          <w:lang w:eastAsia="en-GB"/>
        </w:rPr>
        <mc:AlternateContent>
          <mc:Choice Requires="wps">
            <w:drawing>
              <wp:anchor distT="0" distB="0" distL="114300" distR="114300" simplePos="0" relativeHeight="251648000" behindDoc="0" locked="0" layoutInCell="1" allowOverlap="1" wp14:anchorId="09312ECF" wp14:editId="5F6B8D20">
                <wp:simplePos x="0" y="0"/>
                <wp:positionH relativeFrom="column">
                  <wp:posOffset>77025</wp:posOffset>
                </wp:positionH>
                <wp:positionV relativeFrom="paragraph">
                  <wp:posOffset>2503170</wp:posOffset>
                </wp:positionV>
                <wp:extent cx="5162550" cy="6172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17220"/>
                        </a:xfrm>
                        <a:prstGeom prst="rect">
                          <a:avLst/>
                        </a:prstGeom>
                        <a:noFill/>
                        <a:ln w="9525">
                          <a:noFill/>
                          <a:miter lim="800000"/>
                          <a:headEnd/>
                          <a:tailEnd/>
                        </a:ln>
                      </wps:spPr>
                      <wps:txbx>
                        <w:txbxContent>
                          <w:p w14:paraId="4D9510B0" w14:textId="77777777" w:rsidR="000E31EA" w:rsidRPr="00882776" w:rsidRDefault="000E31EA" w:rsidP="00D2783F">
                            <w:pPr>
                              <w:spacing w:after="0" w:line="240" w:lineRule="auto"/>
                              <w:rPr>
                                <w:rFonts w:ascii="Georgia" w:eastAsia="Times New Roman" w:hAnsi="Georgia" w:cs="Arial"/>
                                <w:bCs/>
                                <w:color w:val="FFFFFF" w:themeColor="background1"/>
                                <w:sz w:val="60"/>
                                <w:szCs w:val="60"/>
                                <w:lang w:eastAsia="en-GB"/>
                              </w:rPr>
                            </w:pPr>
                            <w:r w:rsidRPr="00882776">
                              <w:rPr>
                                <w:rFonts w:ascii="Georgia" w:eastAsia="Times New Roman" w:hAnsi="Georgia" w:cs="Arial"/>
                                <w:bCs/>
                                <w:color w:val="FFFFFF" w:themeColor="background1"/>
                                <w:sz w:val="60"/>
                                <w:szCs w:val="60"/>
                                <w:lang w:eastAsia="en-GB"/>
                              </w:rPr>
                              <w:t xml:space="preserve">Data protection audit report </w:t>
                            </w:r>
                          </w:p>
                          <w:p w14:paraId="6AADFBC3" w14:textId="77777777" w:rsidR="000E31EA" w:rsidRPr="00E64457" w:rsidRDefault="000E31EA">
                            <w:pPr>
                              <w:rPr>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12ECF" id="_x0000_s1028" type="#_x0000_t202" style="position:absolute;margin-left:6.05pt;margin-top:197.1pt;width:406.5pt;height:4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" filled="f" stroked="f">
                <v:textbox>
                  <w:txbxContent>
                    <w:p w14:paraId="4D9510B0" w14:textId="77777777" w:rsidR="000E31EA" w:rsidRPr="00882776" w:rsidRDefault="000E31EA" w:rsidP="00D2783F">
                      <w:pPr>
                        <w:spacing w:after="0" w:line="240" w:lineRule="auto"/>
                        <w:rPr>
                          <w:rFonts w:ascii="Georgia" w:eastAsia="Times New Roman" w:hAnsi="Georgia" w:cs="Arial"/>
                          <w:bCs/>
                          <w:color w:val="FFFFFF" w:themeColor="background1"/>
                          <w:sz w:val="60"/>
                          <w:szCs w:val="60"/>
                          <w:lang w:eastAsia="en-GB"/>
                        </w:rPr>
                      </w:pPr>
                      <w:r w:rsidRPr="00882776">
                        <w:rPr>
                          <w:rFonts w:ascii="Georgia" w:eastAsia="Times New Roman" w:hAnsi="Georgia" w:cs="Arial"/>
                          <w:bCs/>
                          <w:color w:val="FFFFFF" w:themeColor="background1"/>
                          <w:sz w:val="60"/>
                          <w:szCs w:val="60"/>
                          <w:lang w:eastAsia="en-GB"/>
                        </w:rPr>
                        <w:t xml:space="preserve">Data protection audit report </w:t>
                      </w:r>
                    </w:p>
                    <w:p w14:paraId="6AADFBC3" w14:textId="77777777" w:rsidR="000E31EA" w:rsidRPr="00E64457" w:rsidRDefault="000E31EA">
                      <w:pPr>
                        <w:rPr>
                          <w:sz w:val="60"/>
                          <w:szCs w:val="60"/>
                        </w:rPr>
                      </w:pPr>
                    </w:p>
                  </w:txbxContent>
                </v:textbox>
              </v:shape>
            </w:pict>
          </mc:Fallback>
        </mc:AlternateContent>
      </w:r>
      <w:r w:rsidR="00A53799" w:rsidRPr="00A53799">
        <w:rPr>
          <w:rFonts w:ascii="Georgia" w:eastAsia="Times New Roman" w:hAnsi="Georgia" w:cs="Arial"/>
          <w:noProof/>
          <w:sz w:val="56"/>
          <w:szCs w:val="56"/>
          <w:lang w:eastAsia="en-GB"/>
        </w:rPr>
        <w:drawing>
          <wp:anchor distT="0" distB="0" distL="114300" distR="114300" simplePos="0" relativeHeight="251656192" behindDoc="0" locked="0" layoutInCell="1" allowOverlap="1" wp14:anchorId="4F7B9990" wp14:editId="3C11E9B4">
            <wp:simplePos x="0" y="0"/>
            <wp:positionH relativeFrom="column">
              <wp:posOffset>-356235</wp:posOffset>
            </wp:positionH>
            <wp:positionV relativeFrom="paragraph">
              <wp:posOffset>4487735</wp:posOffset>
            </wp:positionV>
            <wp:extent cx="2159635" cy="14376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logo-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635" cy="1437640"/>
                    </a:xfrm>
                    <a:prstGeom prst="rect">
                      <a:avLst/>
                    </a:prstGeom>
                  </pic:spPr>
                </pic:pic>
              </a:graphicData>
            </a:graphic>
            <wp14:sizeRelH relativeFrom="page">
              <wp14:pctWidth>0</wp14:pctWidth>
            </wp14:sizeRelH>
            <wp14:sizeRelV relativeFrom="page">
              <wp14:pctHeight>0</wp14:pctHeight>
            </wp14:sizeRelV>
          </wp:anchor>
        </w:drawing>
      </w:r>
    </w:p>
    <w:p w14:paraId="3039E965" w14:textId="77777777" w:rsidR="003E6496" w:rsidRPr="00A73118" w:rsidRDefault="003E6496" w:rsidP="003E6496">
      <w:pPr>
        <w:pStyle w:val="Header"/>
        <w:spacing w:before="120" w:after="720"/>
        <w:rPr>
          <w:rFonts w:ascii="Georgia" w:hAnsi="Georgia"/>
          <w:color w:val="4E8ABE"/>
          <w:sz w:val="96"/>
          <w:szCs w:val="96"/>
        </w:rPr>
      </w:pPr>
      <w:r>
        <w:rPr>
          <w:rFonts w:ascii="Georgia" w:hAnsi="Georgia"/>
          <w:noProof/>
          <w:color w:val="4E8ABE"/>
          <w:sz w:val="96"/>
          <w:szCs w:val="96"/>
          <w:lang w:eastAsia="en-GB"/>
        </w:rPr>
        <w:lastRenderedPageBreak/>
        <mc:AlternateContent>
          <mc:Choice Requires="wps">
            <w:drawing>
              <wp:anchor distT="0" distB="0" distL="114300" distR="114300" simplePos="0" relativeHeight="251660800" behindDoc="0" locked="0" layoutInCell="1" allowOverlap="1" wp14:anchorId="62EE5512" wp14:editId="163F84F8">
                <wp:simplePos x="0" y="0"/>
                <wp:positionH relativeFrom="column">
                  <wp:posOffset>35560</wp:posOffset>
                </wp:positionH>
                <wp:positionV relativeFrom="paragraph">
                  <wp:posOffset>975360</wp:posOffset>
                </wp:positionV>
                <wp:extent cx="7077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07707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F2C8D5" id="Straight Connector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76.8pt" to="560.05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" strokecolor="#4f81bd [3204]" strokeweight="1.5pt"/>
            </w:pict>
          </mc:Fallback>
        </mc:AlternateContent>
      </w:r>
      <w:r>
        <w:rPr>
          <w:rFonts w:ascii="Georgia" w:hAnsi="Georgia"/>
          <w:noProof/>
          <w:color w:val="4E8ABE"/>
          <w:sz w:val="96"/>
          <w:szCs w:val="96"/>
          <w:lang w:eastAsia="en-GB"/>
        </w:rPr>
        <w:drawing>
          <wp:anchor distT="0" distB="0" distL="114300" distR="114300" simplePos="0" relativeHeight="251661824" behindDoc="0" locked="0" layoutInCell="1" allowOverlap="1" wp14:anchorId="4CA445D0" wp14:editId="1DDCEB1F">
            <wp:simplePos x="0" y="0"/>
            <wp:positionH relativeFrom="column">
              <wp:posOffset>7205980</wp:posOffset>
            </wp:positionH>
            <wp:positionV relativeFrom="paragraph">
              <wp:posOffset>-78105</wp:posOffset>
            </wp:positionV>
            <wp:extent cx="1494000" cy="10656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emf"/>
                    <pic:cNvPicPr/>
                  </pic:nvPicPr>
                  <pic:blipFill>
                    <a:blip r:embed="rId16">
                      <a:extLst>
                        <a:ext uri="{28A0092B-C50C-407E-A947-70E740481C1C}">
                          <a14:useLocalDpi xmlns:a14="http://schemas.microsoft.com/office/drawing/2010/main" val="0"/>
                        </a:ext>
                      </a:extLst>
                    </a:blip>
                    <a:stretch>
                      <a:fillRect/>
                    </a:stretch>
                  </pic:blipFill>
                  <pic:spPr>
                    <a:xfrm>
                      <a:off x="0" y="0"/>
                      <a:ext cx="1494000" cy="1065600"/>
                    </a:xfrm>
                    <a:prstGeom prst="rect">
                      <a:avLst/>
                    </a:prstGeom>
                  </pic:spPr>
                </pic:pic>
              </a:graphicData>
            </a:graphic>
            <wp14:sizeRelH relativeFrom="margin">
              <wp14:pctWidth>0</wp14:pctWidth>
            </wp14:sizeRelH>
            <wp14:sizeRelV relativeFrom="margin">
              <wp14:pctHeight>0</wp14:pctHeight>
            </wp14:sizeRelV>
          </wp:anchor>
        </w:drawing>
      </w:r>
      <w:r w:rsidRPr="00A73118">
        <w:rPr>
          <w:rFonts w:ascii="Georgia" w:hAnsi="Georgia"/>
          <w:color w:val="4E8ABE"/>
          <w:sz w:val="96"/>
          <w:szCs w:val="96"/>
        </w:rPr>
        <w:t>Executive summary</w:t>
      </w:r>
    </w:p>
    <w:p w14:paraId="38BB90BF" w14:textId="77777777" w:rsidR="003E6496" w:rsidRPr="00E17DE7" w:rsidRDefault="00E17DE7" w:rsidP="00250A59">
      <w:pPr>
        <w:rPr>
          <w:rFonts w:ascii="Georgia" w:hAnsi="Georgia"/>
          <w:color w:val="4F81BD" w:themeColor="accent1"/>
          <w:sz w:val="36"/>
          <w:szCs w:val="36"/>
        </w:rPr>
      </w:pPr>
      <w:r>
        <w:rPr>
          <w:rFonts w:ascii="Georgia" w:hAnsi="Georgia"/>
          <w:color w:val="4F81BD" w:themeColor="accent1"/>
          <w:sz w:val="36"/>
          <w:szCs w:val="36"/>
        </w:rPr>
        <w:t>Audit Methodology</w:t>
      </w:r>
    </w:p>
    <w:p w14:paraId="32890B3D" w14:textId="1138BED1" w:rsidR="00C871C6" w:rsidRDefault="00C871C6" w:rsidP="00880091">
      <w:pPr>
        <w:tabs>
          <w:tab w:val="left" w:pos="360"/>
          <w:tab w:val="left" w:pos="900"/>
          <w:tab w:val="left" w:pos="1260"/>
        </w:tabs>
        <w:spacing w:after="0" w:line="240" w:lineRule="auto"/>
        <w:jc w:val="both"/>
        <w:rPr>
          <w:rFonts w:eastAsia="Times New Roman" w:cs="Arial"/>
          <w:lang w:eastAsia="en-GB"/>
        </w:rPr>
      </w:pPr>
      <w:r w:rsidRPr="00C871C6">
        <w:rPr>
          <w:rFonts w:eastAsia="Times New Roman" w:cs="Arial"/>
          <w:lang w:eastAsia="en-GB"/>
        </w:rPr>
        <w:t>The Information Commissioner is responsible for enforcing and promoting compliance with the General Data Protection Regulation (GDPR), the Data Protection Act 2018 (DPA18) and other data protection legislation. Section 146 of the DPA18 provides the Information Commissioner’s Office (ICO) with the power</w:t>
      </w:r>
      <w:r w:rsidR="00B32174">
        <w:rPr>
          <w:rFonts w:eastAsia="Times New Roman" w:cs="Arial"/>
          <w:lang w:eastAsia="en-GB"/>
        </w:rPr>
        <w:t xml:space="preserve"> to</w:t>
      </w:r>
      <w:r w:rsidRPr="00C871C6">
        <w:rPr>
          <w:rFonts w:eastAsia="Times New Roman" w:cs="Arial"/>
          <w:lang w:eastAsia="en-GB"/>
        </w:rPr>
        <w:t xml:space="preserve"> conduct compulsory audits through the issue of assessment notices. Section 129 of the DPA18 allows the ICO to carry out consensual audits. The ICO sees auditing as a constructive process with real benefits for controllers and so aims to establish a participative approach</w:t>
      </w:r>
      <w:r>
        <w:rPr>
          <w:rFonts w:eastAsia="Times New Roman" w:cs="Arial"/>
          <w:lang w:eastAsia="en-GB"/>
        </w:rPr>
        <w:t>.</w:t>
      </w:r>
    </w:p>
    <w:p w14:paraId="63B40794" w14:textId="045370B7" w:rsidR="008A1ADC" w:rsidRDefault="008A1ADC" w:rsidP="00880091">
      <w:pPr>
        <w:tabs>
          <w:tab w:val="left" w:pos="360"/>
          <w:tab w:val="left" w:pos="900"/>
          <w:tab w:val="left" w:pos="1260"/>
        </w:tabs>
        <w:spacing w:after="0" w:line="240" w:lineRule="auto"/>
        <w:jc w:val="both"/>
        <w:rPr>
          <w:rFonts w:eastAsia="Times New Roman" w:cs="Arial"/>
          <w:lang w:eastAsia="en-GB"/>
        </w:rPr>
      </w:pPr>
    </w:p>
    <w:p w14:paraId="5B509656" w14:textId="3E7F8363" w:rsidR="008A1ADC" w:rsidRDefault="008A1ADC" w:rsidP="008A1ADC">
      <w:pPr>
        <w:tabs>
          <w:tab w:val="left" w:pos="360"/>
          <w:tab w:val="left" w:pos="900"/>
          <w:tab w:val="left" w:pos="1260"/>
        </w:tabs>
        <w:spacing w:after="0" w:line="240" w:lineRule="auto"/>
        <w:jc w:val="both"/>
        <w:rPr>
          <w:rFonts w:eastAsia="Times New Roman" w:cs="Arial"/>
          <w:color w:val="FF0000"/>
          <w:lang w:eastAsia="en-GB"/>
        </w:rPr>
      </w:pPr>
      <w:r>
        <w:rPr>
          <w:rFonts w:eastAsia="Times New Roman" w:cs="Arial"/>
          <w:lang w:eastAsia="en-GB"/>
        </w:rPr>
        <w:t xml:space="preserve">Ormiston Academies Trust (OAT) </w:t>
      </w:r>
      <w:r w:rsidRPr="00F7342F">
        <w:rPr>
          <w:rFonts w:eastAsia="Times New Roman" w:cs="Arial"/>
          <w:lang w:eastAsia="en-GB"/>
        </w:rPr>
        <w:t>agreed to a consensual audit by the ICO of it</w:t>
      </w:r>
      <w:r>
        <w:rPr>
          <w:rFonts w:eastAsia="Times New Roman" w:cs="Arial"/>
          <w:lang w:eastAsia="en-GB"/>
        </w:rPr>
        <w:t xml:space="preserve">s processing of personal data. </w:t>
      </w:r>
      <w:r w:rsidRPr="00F7342F">
        <w:rPr>
          <w:rFonts w:eastAsia="Times New Roman" w:cs="Arial"/>
          <w:lang w:eastAsia="en-GB"/>
        </w:rPr>
        <w:t>An intro</w:t>
      </w:r>
      <w:r>
        <w:rPr>
          <w:rFonts w:eastAsia="Times New Roman" w:cs="Arial"/>
          <w:lang w:eastAsia="en-GB"/>
        </w:rPr>
        <w:t xml:space="preserve">ductory telephone meeting was held on 10 May 2019 </w:t>
      </w:r>
      <w:r w:rsidRPr="00F7342F">
        <w:rPr>
          <w:rFonts w:eastAsia="Times New Roman" w:cs="Arial"/>
          <w:lang w:eastAsia="en-GB"/>
        </w:rPr>
        <w:t>with representatives of</w:t>
      </w:r>
      <w:r>
        <w:rPr>
          <w:rFonts w:eastAsia="Times New Roman" w:cs="Arial"/>
          <w:lang w:eastAsia="en-GB"/>
        </w:rPr>
        <w:t xml:space="preserve"> OAT </w:t>
      </w:r>
      <w:r w:rsidRPr="00F7342F">
        <w:rPr>
          <w:rFonts w:eastAsia="Times New Roman" w:cs="Arial"/>
          <w:lang w:eastAsia="en-GB"/>
        </w:rPr>
        <w:t>to discuss the scope of the audit.</w:t>
      </w:r>
    </w:p>
    <w:p w14:paraId="30D55CBC" w14:textId="77777777" w:rsidR="008A1ADC" w:rsidRDefault="008A1ADC" w:rsidP="00880091">
      <w:pPr>
        <w:tabs>
          <w:tab w:val="left" w:pos="360"/>
          <w:tab w:val="left" w:pos="900"/>
          <w:tab w:val="left" w:pos="1260"/>
        </w:tabs>
        <w:spacing w:after="0" w:line="240" w:lineRule="auto"/>
        <w:jc w:val="both"/>
        <w:rPr>
          <w:rFonts w:eastAsia="Times New Roman" w:cs="Arial"/>
          <w:lang w:eastAsia="en-GB"/>
        </w:rPr>
      </w:pPr>
    </w:p>
    <w:p w14:paraId="71E7E2F5" w14:textId="2779F248" w:rsidR="008A1ADC" w:rsidRPr="00D747A4" w:rsidRDefault="008A1ADC" w:rsidP="008A1ADC">
      <w:pPr>
        <w:tabs>
          <w:tab w:val="left" w:pos="360"/>
          <w:tab w:val="left" w:pos="900"/>
          <w:tab w:val="left" w:pos="1260"/>
        </w:tabs>
        <w:spacing w:after="0" w:line="240" w:lineRule="auto"/>
        <w:jc w:val="both"/>
        <w:rPr>
          <w:rFonts w:eastAsia="Times New Roman" w:cs="Arial"/>
          <w:color w:val="FF0000"/>
          <w:lang w:eastAsia="en-GB"/>
        </w:rPr>
      </w:pPr>
      <w:r w:rsidRPr="00F7342F">
        <w:rPr>
          <w:rFonts w:eastAsia="Times New Roman" w:cs="Arial"/>
          <w:lang w:eastAsia="en-GB"/>
        </w:rPr>
        <w:t>Telephone interviews were conducted on</w:t>
      </w:r>
      <w:r>
        <w:rPr>
          <w:rFonts w:eastAsia="Times New Roman" w:cs="Arial"/>
          <w:lang w:eastAsia="en-GB"/>
        </w:rPr>
        <w:t xml:space="preserve"> </w:t>
      </w:r>
      <w:r w:rsidR="00E759E5" w:rsidRPr="00E759E5">
        <w:rPr>
          <w:rFonts w:eastAsia="Times New Roman" w:cs="Arial"/>
          <w:lang w:eastAsia="en-GB"/>
        </w:rPr>
        <w:t xml:space="preserve">24 June 2019, 26 June </w:t>
      </w:r>
      <w:r w:rsidRPr="00E759E5">
        <w:rPr>
          <w:rFonts w:eastAsia="Times New Roman" w:cs="Arial"/>
          <w:lang w:eastAsia="en-GB"/>
        </w:rPr>
        <w:t>2019</w:t>
      </w:r>
      <w:r w:rsidR="00E759E5" w:rsidRPr="00E759E5">
        <w:rPr>
          <w:rFonts w:eastAsia="Times New Roman" w:cs="Arial"/>
          <w:lang w:eastAsia="en-GB"/>
        </w:rPr>
        <w:t xml:space="preserve"> and 28 June </w:t>
      </w:r>
      <w:r w:rsidRPr="00E759E5">
        <w:rPr>
          <w:rFonts w:eastAsia="Times New Roman" w:cs="Arial"/>
          <w:lang w:eastAsia="en-GB"/>
        </w:rPr>
        <w:t xml:space="preserve">2019 </w:t>
      </w:r>
      <w:r w:rsidRPr="00B22A8E">
        <w:rPr>
          <w:rFonts w:eastAsia="Times New Roman" w:cs="Arial"/>
          <w:lang w:eastAsia="en-GB"/>
        </w:rPr>
        <w:t>prior to the onsite visit. The audit fieldwork was undertaken at</w:t>
      </w:r>
      <w:r>
        <w:rPr>
          <w:rFonts w:eastAsia="Times New Roman" w:cs="Arial"/>
          <w:lang w:eastAsia="en-GB"/>
        </w:rPr>
        <w:t xml:space="preserve"> </w:t>
      </w:r>
      <w:r w:rsidR="004403DB">
        <w:rPr>
          <w:rFonts w:eastAsia="Times New Roman" w:cs="Arial"/>
          <w:lang w:eastAsia="en-GB"/>
        </w:rPr>
        <w:t>OAT’s</w:t>
      </w:r>
      <w:r>
        <w:rPr>
          <w:rFonts w:eastAsia="Times New Roman" w:cs="Arial"/>
          <w:lang w:eastAsia="en-GB"/>
        </w:rPr>
        <w:t xml:space="preserve"> Offices, </w:t>
      </w:r>
      <w:r w:rsidR="004403DB">
        <w:rPr>
          <w:rFonts w:eastAsia="Times New Roman" w:cs="Arial"/>
          <w:lang w:eastAsia="en-GB"/>
        </w:rPr>
        <w:t>Birmingham</w:t>
      </w:r>
      <w:r>
        <w:rPr>
          <w:rFonts w:eastAsia="Times New Roman" w:cs="Arial"/>
          <w:lang w:eastAsia="en-GB"/>
        </w:rPr>
        <w:t xml:space="preserve">, and </w:t>
      </w:r>
      <w:r w:rsidR="004403DB">
        <w:rPr>
          <w:rFonts w:eastAsia="Times New Roman" w:cs="Arial"/>
          <w:lang w:eastAsia="en-GB"/>
        </w:rPr>
        <w:t>Ormiston Forge</w:t>
      </w:r>
      <w:r>
        <w:rPr>
          <w:rFonts w:eastAsia="Times New Roman" w:cs="Arial"/>
          <w:lang w:eastAsia="en-GB"/>
        </w:rPr>
        <w:t xml:space="preserve"> Academy </w:t>
      </w:r>
      <w:r w:rsidR="004403DB">
        <w:rPr>
          <w:rFonts w:eastAsia="Times New Roman" w:cs="Arial"/>
          <w:lang w:eastAsia="en-GB"/>
        </w:rPr>
        <w:t>Cradley Heath</w:t>
      </w:r>
      <w:r>
        <w:rPr>
          <w:rFonts w:eastAsia="Times New Roman" w:cs="Arial"/>
          <w:lang w:eastAsia="en-GB"/>
        </w:rPr>
        <w:t xml:space="preserve">, on </w:t>
      </w:r>
      <w:r w:rsidR="004403DB">
        <w:rPr>
          <w:rFonts w:eastAsia="Times New Roman" w:cs="Arial"/>
          <w:lang w:eastAsia="en-GB"/>
        </w:rPr>
        <w:t>3</w:t>
      </w:r>
      <w:r>
        <w:rPr>
          <w:rFonts w:eastAsia="Times New Roman" w:cs="Arial"/>
          <w:lang w:eastAsia="en-GB"/>
        </w:rPr>
        <w:t xml:space="preserve"> </w:t>
      </w:r>
      <w:r w:rsidR="004403DB">
        <w:rPr>
          <w:rFonts w:eastAsia="Times New Roman" w:cs="Arial"/>
          <w:lang w:eastAsia="en-GB"/>
        </w:rPr>
        <w:t xml:space="preserve">July 2019 and 4 July </w:t>
      </w:r>
      <w:r>
        <w:rPr>
          <w:rFonts w:eastAsia="Times New Roman" w:cs="Arial"/>
          <w:lang w:eastAsia="en-GB"/>
        </w:rPr>
        <w:t>2019.</w:t>
      </w:r>
    </w:p>
    <w:p w14:paraId="57C47413" w14:textId="77777777" w:rsidR="00880091" w:rsidRPr="00D747A4" w:rsidRDefault="00880091" w:rsidP="00880091">
      <w:pPr>
        <w:pStyle w:val="ListParagraph"/>
        <w:tabs>
          <w:tab w:val="num" w:pos="1620"/>
        </w:tabs>
        <w:spacing w:after="0" w:line="240" w:lineRule="auto"/>
        <w:ind w:left="0"/>
        <w:rPr>
          <w:rFonts w:eastAsia="Times New Roman" w:cs="Arial"/>
          <w:lang w:eastAsia="en-GB"/>
        </w:rPr>
      </w:pPr>
    </w:p>
    <w:p w14:paraId="26A5D4DF" w14:textId="2114049C" w:rsidR="00690E0D" w:rsidRDefault="00880091" w:rsidP="00880091">
      <w:pPr>
        <w:spacing w:after="0" w:line="240" w:lineRule="auto"/>
        <w:rPr>
          <w:rFonts w:eastAsia="Times New Roman" w:cs="Arial"/>
          <w:lang w:eastAsia="en-GB"/>
        </w:rPr>
      </w:pPr>
      <w:r w:rsidRPr="00D747A4">
        <w:rPr>
          <w:rFonts w:eastAsia="Times New Roman" w:cs="Arial"/>
          <w:lang w:eastAsia="en-GB"/>
        </w:rPr>
        <w:t xml:space="preserve">The purpose of the audit is to provide the Information Commissioner and </w:t>
      </w:r>
      <w:r w:rsidR="008A1ADC" w:rsidRPr="008A1ADC">
        <w:rPr>
          <w:rFonts w:eastAsia="Times New Roman" w:cs="Arial"/>
          <w:lang w:eastAsia="en-GB"/>
        </w:rPr>
        <w:t>OAT</w:t>
      </w:r>
      <w:r w:rsidRPr="00D747A4">
        <w:rPr>
          <w:rFonts w:eastAsia="Times New Roman" w:cs="Arial"/>
          <w:color w:val="FF0000"/>
          <w:lang w:eastAsia="en-GB"/>
        </w:rPr>
        <w:t xml:space="preserve"> </w:t>
      </w:r>
      <w:r w:rsidRPr="00D747A4">
        <w:rPr>
          <w:rFonts w:eastAsia="Times New Roman" w:cs="Arial"/>
          <w:lang w:eastAsia="en-GB"/>
        </w:rPr>
        <w:t xml:space="preserve">with an independent assurance of the extent to which </w:t>
      </w:r>
      <w:r w:rsidR="008A1ADC" w:rsidRPr="008A1ADC">
        <w:rPr>
          <w:rFonts w:eastAsia="Times New Roman" w:cs="Arial"/>
          <w:lang w:eastAsia="en-GB"/>
        </w:rPr>
        <w:t>OAT</w:t>
      </w:r>
      <w:r w:rsidRPr="00D747A4">
        <w:rPr>
          <w:rFonts w:eastAsia="Times New Roman" w:cs="Arial"/>
          <w:lang w:eastAsia="en-GB"/>
        </w:rPr>
        <w:t xml:space="preserve">, </w:t>
      </w:r>
      <w:r w:rsidRPr="00D747A4">
        <w:rPr>
          <w:rFonts w:eastAsia="Times New Roman" w:cs="Arial"/>
          <w:lang w:eastAsia="en-GB"/>
        </w:rPr>
        <w:lastRenderedPageBreak/>
        <w:t xml:space="preserve">within the scope of this agreed </w:t>
      </w:r>
      <w:r w:rsidR="00D747A4" w:rsidRPr="00D747A4">
        <w:rPr>
          <w:rFonts w:eastAsia="Times New Roman" w:cs="Arial"/>
          <w:lang w:eastAsia="en-GB"/>
        </w:rPr>
        <w:t>audit, is complying with data protection legislation</w:t>
      </w:r>
      <w:r w:rsidRPr="00D747A4">
        <w:rPr>
          <w:rFonts w:eastAsia="Times New Roman" w:cs="Arial"/>
          <w:lang w:eastAsia="en-GB"/>
        </w:rPr>
        <w:t>.</w:t>
      </w:r>
    </w:p>
    <w:p w14:paraId="299854AF" w14:textId="389B6370" w:rsidR="00A87426" w:rsidRDefault="00A87426" w:rsidP="00880091">
      <w:pPr>
        <w:spacing w:after="0" w:line="240" w:lineRule="auto"/>
        <w:rPr>
          <w:rFonts w:eastAsia="Times New Roman" w:cs="Arial"/>
          <w:lang w:eastAsia="en-GB"/>
        </w:rPr>
      </w:pPr>
    </w:p>
    <w:p w14:paraId="0576C620" w14:textId="77777777" w:rsidR="00A87426" w:rsidRDefault="00A87426" w:rsidP="00880091">
      <w:pPr>
        <w:spacing w:after="0" w:line="240" w:lineRule="auto"/>
        <w:rPr>
          <w:rFonts w:eastAsia="Times New Roman" w:cs="Arial"/>
          <w:lang w:eastAsia="en-GB"/>
        </w:rPr>
      </w:pPr>
    </w:p>
    <w:p w14:paraId="29515053" w14:textId="77777777" w:rsidR="00A87426" w:rsidRDefault="00A87426" w:rsidP="00880091">
      <w:pPr>
        <w:spacing w:after="0" w:line="240" w:lineRule="auto"/>
        <w:rPr>
          <w:rFonts w:eastAsia="Times New Roman" w:cs="Arial"/>
          <w:lang w:eastAsia="en-GB"/>
        </w:rPr>
      </w:pPr>
    </w:p>
    <w:p w14:paraId="56A6010B" w14:textId="77777777" w:rsidR="00A87426" w:rsidRDefault="00A87426" w:rsidP="00880091">
      <w:pPr>
        <w:spacing w:after="0" w:line="240" w:lineRule="auto"/>
        <w:rPr>
          <w:rFonts w:eastAsia="Times New Roman" w:cs="Arial"/>
          <w:lang w:eastAsia="en-GB"/>
        </w:rPr>
      </w:pPr>
    </w:p>
    <w:p w14:paraId="7D1D72DF" w14:textId="77777777" w:rsidR="00A87426" w:rsidRDefault="00A87426" w:rsidP="00880091">
      <w:pPr>
        <w:spacing w:after="0" w:line="240" w:lineRule="auto"/>
        <w:rPr>
          <w:rFonts w:eastAsia="Times New Roman" w:cs="Arial"/>
          <w:lang w:eastAsia="en-GB"/>
        </w:rPr>
      </w:pPr>
    </w:p>
    <w:p w14:paraId="4ACF77C7" w14:textId="77777777" w:rsidR="00A87426" w:rsidRDefault="00A87426" w:rsidP="00880091">
      <w:pPr>
        <w:spacing w:after="0" w:line="240" w:lineRule="auto"/>
        <w:rPr>
          <w:rFonts w:eastAsia="Times New Roman" w:cs="Arial"/>
          <w:lang w:eastAsia="en-GB"/>
        </w:rPr>
      </w:pPr>
    </w:p>
    <w:p w14:paraId="062959B7" w14:textId="77777777" w:rsidR="00A87426" w:rsidRPr="00D747A4" w:rsidRDefault="00A87426" w:rsidP="00880091">
      <w:pPr>
        <w:spacing w:after="0" w:line="240" w:lineRule="auto"/>
        <w:rPr>
          <w:rFonts w:eastAsia="Times New Roman" w:cs="Arial"/>
          <w:lang w:eastAsia="en-GB"/>
        </w:rPr>
      </w:pPr>
    </w:p>
    <w:p w14:paraId="42E42BEE" w14:textId="77777777" w:rsidR="00880091" w:rsidRPr="00D747A4" w:rsidRDefault="00880091" w:rsidP="00880091">
      <w:pPr>
        <w:spacing w:after="0" w:line="240" w:lineRule="auto"/>
        <w:rPr>
          <w:rFonts w:eastAsia="Times New Roman" w:cs="Arial"/>
          <w:lang w:eastAsia="en-GB"/>
        </w:rPr>
      </w:pPr>
    </w:p>
    <w:p w14:paraId="467616C9" w14:textId="674447EC" w:rsidR="00880091" w:rsidRPr="00D747A4" w:rsidRDefault="00880091" w:rsidP="00880091">
      <w:pPr>
        <w:spacing w:after="0" w:line="240" w:lineRule="auto"/>
      </w:pPr>
      <w:r w:rsidRPr="00D747A4">
        <w:rPr>
          <w:rFonts w:eastAsia="Times New Roman" w:cs="Arial"/>
          <w:lang w:eastAsia="en-GB"/>
        </w:rPr>
        <w:t>It was agreed that the audit would focus on the following area(s):</w:t>
      </w:r>
    </w:p>
    <w:p w14:paraId="3B55083E" w14:textId="77777777" w:rsidR="00880091" w:rsidRDefault="00880091" w:rsidP="00880091">
      <w:pPr>
        <w:spacing w:after="0" w:line="240" w:lineRule="auto"/>
        <w:rPr>
          <w:sz w:val="24"/>
          <w:szCs w:val="24"/>
        </w:rPr>
      </w:pPr>
    </w:p>
    <w:tbl>
      <w:tblPr>
        <w:tblStyle w:val="TableGrid"/>
        <w:tblW w:w="14124" w:type="dxa"/>
        <w:tblInd w:w="108" w:type="dxa"/>
        <w:tblLook w:val="04A0" w:firstRow="1" w:lastRow="0" w:firstColumn="1" w:lastColumn="0" w:noHBand="0" w:noVBand="1"/>
      </w:tblPr>
      <w:tblGrid>
        <w:gridCol w:w="3854"/>
        <w:gridCol w:w="10270"/>
      </w:tblGrid>
      <w:tr w:rsidR="00880091" w14:paraId="242E9CF1" w14:textId="77777777" w:rsidTr="00880091">
        <w:trPr>
          <w:trHeight w:val="295"/>
        </w:trPr>
        <w:tc>
          <w:tcPr>
            <w:tcW w:w="3854" w:type="dxa"/>
          </w:tcPr>
          <w:p w14:paraId="482A0997" w14:textId="77777777" w:rsidR="00880091" w:rsidRPr="00322C45" w:rsidRDefault="00880091" w:rsidP="00880091">
            <w:pPr>
              <w:rPr>
                <w:b/>
                <w:sz w:val="24"/>
                <w:szCs w:val="24"/>
              </w:rPr>
            </w:pPr>
            <w:r w:rsidRPr="00322C45">
              <w:rPr>
                <w:b/>
                <w:sz w:val="24"/>
                <w:szCs w:val="24"/>
              </w:rPr>
              <w:t>Scope Area</w:t>
            </w:r>
          </w:p>
        </w:tc>
        <w:tc>
          <w:tcPr>
            <w:tcW w:w="10270" w:type="dxa"/>
          </w:tcPr>
          <w:p w14:paraId="0FBEC23F" w14:textId="77777777" w:rsidR="00880091" w:rsidRPr="00322C45" w:rsidRDefault="00880091" w:rsidP="00880091">
            <w:pPr>
              <w:rPr>
                <w:b/>
                <w:sz w:val="24"/>
                <w:szCs w:val="24"/>
              </w:rPr>
            </w:pPr>
            <w:r w:rsidRPr="00322C45">
              <w:rPr>
                <w:b/>
                <w:sz w:val="24"/>
                <w:szCs w:val="24"/>
              </w:rPr>
              <w:t>Description</w:t>
            </w:r>
          </w:p>
        </w:tc>
      </w:tr>
      <w:tr w:rsidR="00880091" w14:paraId="1ACC0791" w14:textId="77777777" w:rsidTr="00880091">
        <w:trPr>
          <w:trHeight w:val="295"/>
        </w:trPr>
        <w:tc>
          <w:tcPr>
            <w:tcW w:w="3854" w:type="dxa"/>
          </w:tcPr>
          <w:p w14:paraId="2B4789EA" w14:textId="149336C1" w:rsidR="00880091" w:rsidRDefault="00A87426" w:rsidP="00880091">
            <w:pPr>
              <w:rPr>
                <w:sz w:val="24"/>
                <w:szCs w:val="24"/>
              </w:rPr>
            </w:pPr>
            <w:r w:rsidRPr="007E749C">
              <w:t>Governance &amp; Accountability</w:t>
            </w:r>
          </w:p>
        </w:tc>
        <w:tc>
          <w:tcPr>
            <w:tcW w:w="10270" w:type="dxa"/>
          </w:tcPr>
          <w:p w14:paraId="7282B0F8" w14:textId="22418500" w:rsidR="00880091" w:rsidRDefault="00A87426" w:rsidP="00880091">
            <w:pPr>
              <w:rPr>
                <w:sz w:val="24"/>
                <w:szCs w:val="24"/>
              </w:rPr>
            </w:pPr>
            <w:r w:rsidRPr="007E749C">
              <w:t>The extent to which information governance accountability, policies and procedures, performance measurement controls, and reporting mechanisms to monitor data protection compliance to both the GDPR and national data protection legislation are in place and in operation throughout the organisation.</w:t>
            </w:r>
          </w:p>
        </w:tc>
      </w:tr>
      <w:tr w:rsidR="00880091" w14:paraId="43193649" w14:textId="77777777" w:rsidTr="00880091">
        <w:trPr>
          <w:trHeight w:val="311"/>
        </w:trPr>
        <w:tc>
          <w:tcPr>
            <w:tcW w:w="3854" w:type="dxa"/>
          </w:tcPr>
          <w:p w14:paraId="204B07B1" w14:textId="0ADBDABD" w:rsidR="00880091" w:rsidRDefault="00A87426" w:rsidP="00880091">
            <w:pPr>
              <w:rPr>
                <w:sz w:val="24"/>
                <w:szCs w:val="24"/>
              </w:rPr>
            </w:pPr>
            <w:r w:rsidRPr="007E749C">
              <w:t>Training &amp; Awareness</w:t>
            </w:r>
          </w:p>
        </w:tc>
        <w:tc>
          <w:tcPr>
            <w:tcW w:w="10270" w:type="dxa"/>
          </w:tcPr>
          <w:p w14:paraId="7972C5BF" w14:textId="13E802B1" w:rsidR="00880091" w:rsidRDefault="00A87426" w:rsidP="00880091">
            <w:pPr>
              <w:rPr>
                <w:sz w:val="24"/>
                <w:szCs w:val="24"/>
              </w:rPr>
            </w:pPr>
            <w:r w:rsidRPr="007E749C">
              <w:t>The provision and monitoring of staff data protection, records management and information security training and the awareness of data protection regulation requirements relating to their roles and responsibilities.</w:t>
            </w:r>
          </w:p>
        </w:tc>
      </w:tr>
      <w:tr w:rsidR="00880091" w14:paraId="5D045FD9" w14:textId="77777777" w:rsidTr="00880091">
        <w:trPr>
          <w:trHeight w:val="295"/>
        </w:trPr>
        <w:tc>
          <w:tcPr>
            <w:tcW w:w="3854" w:type="dxa"/>
          </w:tcPr>
          <w:p w14:paraId="394458C6" w14:textId="5D159189" w:rsidR="00880091" w:rsidRDefault="00A87426" w:rsidP="00880091">
            <w:pPr>
              <w:rPr>
                <w:sz w:val="24"/>
                <w:szCs w:val="24"/>
              </w:rPr>
            </w:pPr>
            <w:r w:rsidRPr="007E749C">
              <w:t>Data Sharing</w:t>
            </w:r>
          </w:p>
        </w:tc>
        <w:tc>
          <w:tcPr>
            <w:tcW w:w="10270" w:type="dxa"/>
          </w:tcPr>
          <w:p w14:paraId="0E0E7DFF" w14:textId="4E2C3962" w:rsidR="00880091" w:rsidRDefault="00A87426" w:rsidP="00880091">
            <w:pPr>
              <w:rPr>
                <w:sz w:val="24"/>
                <w:szCs w:val="24"/>
              </w:rPr>
            </w:pPr>
            <w:r w:rsidRPr="007E749C">
              <w:t>The design and operation of controls to ensure the sharing of personal data complies with the principles of all data protection legislation.</w:t>
            </w:r>
          </w:p>
        </w:tc>
      </w:tr>
    </w:tbl>
    <w:p w14:paraId="0BDDFB3A" w14:textId="77777777" w:rsidR="00880091" w:rsidRDefault="00880091" w:rsidP="00880091">
      <w:pPr>
        <w:spacing w:after="0" w:line="240" w:lineRule="auto"/>
        <w:rPr>
          <w:sz w:val="24"/>
          <w:szCs w:val="24"/>
        </w:rPr>
      </w:pPr>
    </w:p>
    <w:p w14:paraId="5DFB890E" w14:textId="77777777" w:rsidR="00880091" w:rsidRPr="00D747A4" w:rsidRDefault="00880091" w:rsidP="00880091">
      <w:pPr>
        <w:spacing w:after="0" w:line="240" w:lineRule="auto"/>
        <w:rPr>
          <w:rFonts w:eastAsia="Times New Roman" w:cs="Arial"/>
          <w:lang w:eastAsia="en-GB"/>
        </w:rPr>
      </w:pPr>
      <w:r w:rsidRPr="00D747A4">
        <w:rPr>
          <w:rFonts w:eastAsia="Times New Roman" w:cs="Arial"/>
          <w:lang w:eastAsia="en-GB"/>
        </w:rPr>
        <w:t xml:space="preserve">The audit was conducted following the Information Commissioner’s data protection audit methodology. The key elements of this are a desk-based review of selected policies and procedures, on-site visits including interviews with selected staff, and an inspection of selected records. </w:t>
      </w:r>
    </w:p>
    <w:p w14:paraId="15C5C5A4" w14:textId="77777777" w:rsidR="00880091" w:rsidRPr="00A17046" w:rsidRDefault="00880091" w:rsidP="00880091">
      <w:pPr>
        <w:pStyle w:val="ListParagraph"/>
        <w:spacing w:after="0" w:line="240" w:lineRule="auto"/>
        <w:ind w:left="0"/>
        <w:rPr>
          <w:rFonts w:eastAsia="Times New Roman" w:cs="Arial"/>
          <w:sz w:val="24"/>
          <w:szCs w:val="24"/>
          <w:lang w:eastAsia="en-GB"/>
        </w:rPr>
      </w:pPr>
    </w:p>
    <w:p w14:paraId="5F3BD91A" w14:textId="08E443E0" w:rsidR="00880091" w:rsidRPr="00D747A4" w:rsidRDefault="00880091" w:rsidP="00880091">
      <w:pPr>
        <w:spacing w:after="0" w:line="240" w:lineRule="auto"/>
        <w:rPr>
          <w:rFonts w:eastAsia="Times New Roman" w:cs="Arial"/>
          <w:lang w:eastAsia="en-GB"/>
        </w:rPr>
      </w:pPr>
      <w:r w:rsidRPr="00D747A4">
        <w:rPr>
          <w:rFonts w:eastAsia="Times New Roman" w:cs="Arial"/>
          <w:lang w:eastAsia="en-GB"/>
        </w:rPr>
        <w:t>Where weaknesses were identified recommendations have been made, primarily around enhancing existing processes to fa</w:t>
      </w:r>
      <w:r w:rsidR="00EC3DE2">
        <w:rPr>
          <w:rFonts w:eastAsia="Times New Roman" w:cs="Arial"/>
          <w:lang w:eastAsia="en-GB"/>
        </w:rPr>
        <w:t>cilitate compliance with data protection legislation</w:t>
      </w:r>
      <w:r w:rsidRPr="00D747A4">
        <w:rPr>
          <w:rFonts w:eastAsia="Times New Roman" w:cs="Arial"/>
          <w:lang w:eastAsia="en-GB"/>
        </w:rPr>
        <w:t xml:space="preserve">. In order to assist </w:t>
      </w:r>
      <w:r w:rsidR="00A87426" w:rsidRPr="00A87426">
        <w:rPr>
          <w:rFonts w:eastAsia="Times New Roman" w:cs="Arial"/>
          <w:lang w:eastAsia="en-GB"/>
        </w:rPr>
        <w:t>OAT</w:t>
      </w:r>
      <w:r w:rsidR="00A87426">
        <w:rPr>
          <w:rFonts w:eastAsia="Times New Roman" w:cs="Arial"/>
          <w:color w:val="FF0000"/>
          <w:lang w:eastAsia="en-GB"/>
        </w:rPr>
        <w:t xml:space="preserve"> </w:t>
      </w:r>
      <w:r w:rsidRPr="00D747A4">
        <w:rPr>
          <w:rFonts w:eastAsia="Times New Roman" w:cs="Arial"/>
          <w:lang w:eastAsia="en-GB"/>
        </w:rPr>
        <w:t>in implementing the recommendations</w:t>
      </w:r>
      <w:r w:rsidR="003D1DA2">
        <w:rPr>
          <w:rFonts w:eastAsia="Times New Roman" w:cs="Arial"/>
          <w:lang w:eastAsia="en-GB"/>
        </w:rPr>
        <w:t>,</w:t>
      </w:r>
      <w:r w:rsidRPr="00D747A4">
        <w:rPr>
          <w:rFonts w:eastAsia="Times New Roman" w:cs="Arial"/>
          <w:lang w:eastAsia="en-GB"/>
        </w:rPr>
        <w:t xml:space="preserve"> each has been assigned a priority rating based upon the risks that they are intended to address. The ratings are assigned based upon the ICO’s assessment of the risks involved. </w:t>
      </w:r>
      <w:r w:rsidR="00A87426" w:rsidRPr="00A87426">
        <w:rPr>
          <w:rFonts w:eastAsia="Times New Roman" w:cs="Arial"/>
          <w:lang w:eastAsia="en-GB"/>
        </w:rPr>
        <w:t>OAT’s</w:t>
      </w:r>
      <w:r w:rsidRPr="00A87426">
        <w:rPr>
          <w:rFonts w:eastAsia="Times New Roman" w:cs="Arial"/>
          <w:lang w:eastAsia="en-GB"/>
        </w:rPr>
        <w:t xml:space="preserve"> </w:t>
      </w:r>
      <w:r w:rsidRPr="00D747A4">
        <w:rPr>
          <w:rFonts w:eastAsia="Times New Roman" w:cs="Arial"/>
          <w:lang w:eastAsia="en-GB"/>
        </w:rPr>
        <w:t>priorities and risk appetite may vary and, therefore, they should undertake their own assessments of the risks identified.</w:t>
      </w:r>
    </w:p>
    <w:p w14:paraId="1604A0F3" w14:textId="77777777" w:rsidR="00A87FD9" w:rsidRPr="00D747A4" w:rsidRDefault="00A87FD9" w:rsidP="00880091">
      <w:pPr>
        <w:spacing w:after="0" w:line="240" w:lineRule="auto"/>
        <w:rPr>
          <w:rFonts w:eastAsia="Times New Roman" w:cs="Arial"/>
          <w:lang w:eastAsia="en-GB"/>
        </w:rPr>
      </w:pPr>
    </w:p>
    <w:p w14:paraId="5CD9C6B6" w14:textId="77777777" w:rsidR="00880091" w:rsidRDefault="00880091" w:rsidP="00250A59">
      <w:pPr>
        <w:rPr>
          <w:sz w:val="28"/>
          <w:szCs w:val="28"/>
        </w:rPr>
      </w:pPr>
    </w:p>
    <w:p w14:paraId="23750A83" w14:textId="512F77C1" w:rsidR="00E57988" w:rsidRDefault="00E57988" w:rsidP="00250A59">
      <w:pPr>
        <w:rPr>
          <w:sz w:val="28"/>
          <w:szCs w:val="28"/>
        </w:rPr>
      </w:pPr>
    </w:p>
    <w:p w14:paraId="54836E68" w14:textId="77777777" w:rsidR="00E57988" w:rsidRDefault="00E57988" w:rsidP="00250A59">
      <w:pPr>
        <w:rPr>
          <w:sz w:val="28"/>
          <w:szCs w:val="28"/>
        </w:rPr>
      </w:pPr>
    </w:p>
    <w:p w14:paraId="43DEB52A" w14:textId="0472EDBE" w:rsidR="00434085" w:rsidRPr="0032057B" w:rsidRDefault="0032057B" w:rsidP="0032057B">
      <w:pPr>
        <w:rPr>
          <w:rFonts w:ascii="Georgia" w:hAnsi="Georgia"/>
          <w:color w:val="4F81BD" w:themeColor="accent1"/>
          <w:sz w:val="36"/>
          <w:szCs w:val="36"/>
        </w:rPr>
      </w:pPr>
      <w:r w:rsidRPr="0032057B">
        <w:rPr>
          <w:rFonts w:ascii="Georgia" w:hAnsi="Georgia"/>
          <w:color w:val="4F81BD" w:themeColor="accent1"/>
          <w:sz w:val="36"/>
          <w:szCs w:val="36"/>
        </w:rPr>
        <w:t>Audit Summary</w:t>
      </w:r>
    </w:p>
    <w:tbl>
      <w:tblPr>
        <w:tblW w:w="14320" w:type="dxa"/>
        <w:tblInd w:w="113" w:type="dxa"/>
        <w:tblLook w:val="04A0" w:firstRow="1" w:lastRow="0" w:firstColumn="1" w:lastColumn="0" w:noHBand="0" w:noVBand="1"/>
      </w:tblPr>
      <w:tblGrid>
        <w:gridCol w:w="4100"/>
        <w:gridCol w:w="3340"/>
        <w:gridCol w:w="6880"/>
      </w:tblGrid>
      <w:tr w:rsidR="00434085" w:rsidRPr="00434085" w14:paraId="4C13E755" w14:textId="77777777" w:rsidTr="007C5342">
        <w:trPr>
          <w:trHeight w:val="420"/>
        </w:trPr>
        <w:tc>
          <w:tcPr>
            <w:tcW w:w="410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4954552B" w14:textId="77777777" w:rsidR="00434085" w:rsidRPr="00434085" w:rsidRDefault="00434085">
            <w:pPr>
              <w:jc w:val="center"/>
              <w:rPr>
                <w:rFonts w:ascii="Calibri" w:eastAsia="Times New Roman" w:hAnsi="Calibri" w:cs="Times New Roman"/>
                <w:color w:val="FFFFFF"/>
                <w:sz w:val="32"/>
                <w:szCs w:val="32"/>
                <w:lang w:eastAsia="en-GB"/>
              </w:rPr>
            </w:pPr>
            <w:r w:rsidRPr="00434085">
              <w:rPr>
                <w:rFonts w:ascii="Calibri" w:eastAsia="Times New Roman" w:hAnsi="Calibri" w:cs="Times New Roman"/>
                <w:color w:val="FFFFFF"/>
                <w:sz w:val="32"/>
                <w:szCs w:val="32"/>
                <w:lang w:eastAsia="en-GB"/>
              </w:rPr>
              <w:t>Audit Scope Area</w:t>
            </w:r>
          </w:p>
        </w:tc>
        <w:tc>
          <w:tcPr>
            <w:tcW w:w="3340" w:type="dxa"/>
            <w:tcBorders>
              <w:top w:val="single" w:sz="4" w:space="0" w:color="auto"/>
              <w:left w:val="nil"/>
              <w:bottom w:val="single" w:sz="4" w:space="0" w:color="auto"/>
              <w:right w:val="single" w:sz="4" w:space="0" w:color="auto"/>
            </w:tcBorders>
            <w:shd w:val="clear" w:color="000000" w:fill="1F497D"/>
            <w:noWrap/>
            <w:vAlign w:val="center"/>
            <w:hideMark/>
          </w:tcPr>
          <w:p w14:paraId="4354245E" w14:textId="77777777" w:rsidR="00434085" w:rsidRPr="00434085" w:rsidRDefault="00434085" w:rsidP="00434085">
            <w:pPr>
              <w:spacing w:after="0" w:line="240" w:lineRule="auto"/>
              <w:jc w:val="center"/>
              <w:rPr>
                <w:rFonts w:ascii="Calibri" w:eastAsia="Times New Roman" w:hAnsi="Calibri" w:cs="Times New Roman"/>
                <w:color w:val="FFFFFF"/>
                <w:sz w:val="32"/>
                <w:szCs w:val="32"/>
                <w:lang w:eastAsia="en-GB"/>
              </w:rPr>
            </w:pPr>
            <w:r w:rsidRPr="00434085">
              <w:rPr>
                <w:rFonts w:ascii="Calibri" w:eastAsia="Times New Roman" w:hAnsi="Calibri" w:cs="Times New Roman"/>
                <w:color w:val="FFFFFF"/>
                <w:sz w:val="32"/>
                <w:szCs w:val="32"/>
                <w:lang w:eastAsia="en-GB"/>
              </w:rPr>
              <w:t>Assurance Rating</w:t>
            </w:r>
          </w:p>
        </w:tc>
        <w:tc>
          <w:tcPr>
            <w:tcW w:w="6880" w:type="dxa"/>
            <w:tcBorders>
              <w:top w:val="single" w:sz="4" w:space="0" w:color="auto"/>
              <w:left w:val="nil"/>
              <w:bottom w:val="single" w:sz="4" w:space="0" w:color="auto"/>
              <w:right w:val="single" w:sz="4" w:space="0" w:color="auto"/>
            </w:tcBorders>
            <w:shd w:val="clear" w:color="000000" w:fill="1F497D"/>
            <w:noWrap/>
            <w:vAlign w:val="center"/>
            <w:hideMark/>
          </w:tcPr>
          <w:p w14:paraId="0E040A82" w14:textId="77777777" w:rsidR="00434085" w:rsidRPr="00434085" w:rsidRDefault="00434085" w:rsidP="00434085">
            <w:pPr>
              <w:spacing w:after="0" w:line="240" w:lineRule="auto"/>
              <w:jc w:val="center"/>
              <w:rPr>
                <w:rFonts w:ascii="Calibri" w:eastAsia="Times New Roman" w:hAnsi="Calibri" w:cs="Times New Roman"/>
                <w:color w:val="FFFFFF"/>
                <w:sz w:val="32"/>
                <w:szCs w:val="32"/>
                <w:lang w:eastAsia="en-GB"/>
              </w:rPr>
            </w:pPr>
            <w:r w:rsidRPr="00434085">
              <w:rPr>
                <w:rFonts w:ascii="Calibri" w:eastAsia="Times New Roman" w:hAnsi="Calibri" w:cs="Times New Roman"/>
                <w:color w:val="FFFFFF"/>
                <w:sz w:val="32"/>
                <w:szCs w:val="32"/>
                <w:lang w:eastAsia="en-GB"/>
              </w:rPr>
              <w:t>Overall opinion</w:t>
            </w:r>
          </w:p>
        </w:tc>
      </w:tr>
      <w:tr w:rsidR="00434085" w:rsidRPr="00434085" w14:paraId="57B82F16" w14:textId="77777777" w:rsidTr="007C5342">
        <w:trPr>
          <w:trHeight w:val="1335"/>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329E7402" w14:textId="77777777" w:rsidR="00434085" w:rsidRPr="00434085" w:rsidRDefault="00434085" w:rsidP="00434085">
            <w:pPr>
              <w:spacing w:after="0" w:line="240" w:lineRule="auto"/>
              <w:jc w:val="center"/>
              <w:rPr>
                <w:rFonts w:eastAsia="Times New Roman" w:cs="Times New Roman"/>
                <w:color w:val="000000"/>
                <w:lang w:eastAsia="en-GB"/>
              </w:rPr>
            </w:pPr>
            <w:r w:rsidRPr="00434085">
              <w:rPr>
                <w:rFonts w:eastAsia="Times New Roman" w:cs="Times New Roman"/>
                <w:color w:val="000000"/>
                <w:lang w:eastAsia="en-GB"/>
              </w:rPr>
              <w:t>Governance &amp; Accountability</w:t>
            </w:r>
          </w:p>
        </w:tc>
        <w:tc>
          <w:tcPr>
            <w:tcW w:w="33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3D53930" w14:textId="77777777" w:rsidR="00434085" w:rsidRPr="00434085" w:rsidRDefault="00434085" w:rsidP="00434085">
            <w:pPr>
              <w:spacing w:after="0" w:line="240" w:lineRule="auto"/>
              <w:jc w:val="center"/>
              <w:rPr>
                <w:rFonts w:eastAsia="Times New Roman" w:cs="Times New Roman"/>
                <w:color w:val="000000"/>
                <w:lang w:eastAsia="en-GB"/>
              </w:rPr>
            </w:pPr>
            <w:r w:rsidRPr="00434085">
              <w:rPr>
                <w:rFonts w:eastAsia="Times New Roman" w:cs="Times New Roman"/>
                <w:color w:val="000000"/>
                <w:lang w:eastAsia="en-GB"/>
              </w:rPr>
              <w:t>Reasonable</w:t>
            </w:r>
          </w:p>
        </w:tc>
        <w:tc>
          <w:tcPr>
            <w:tcW w:w="6880" w:type="dxa"/>
            <w:tcBorders>
              <w:top w:val="nil"/>
              <w:left w:val="nil"/>
              <w:bottom w:val="single" w:sz="4" w:space="0" w:color="auto"/>
              <w:right w:val="single" w:sz="4" w:space="0" w:color="auto"/>
            </w:tcBorders>
            <w:shd w:val="clear" w:color="auto" w:fill="auto"/>
            <w:vAlign w:val="center"/>
            <w:hideMark/>
          </w:tcPr>
          <w:p w14:paraId="25FF8C5A" w14:textId="77777777" w:rsidR="00434085" w:rsidRPr="00434085" w:rsidRDefault="00434085" w:rsidP="00434085">
            <w:pPr>
              <w:spacing w:after="0" w:line="240" w:lineRule="auto"/>
              <w:jc w:val="center"/>
              <w:rPr>
                <w:rFonts w:eastAsia="Times New Roman" w:cs="Times New Roman"/>
                <w:color w:val="000000"/>
                <w:sz w:val="20"/>
                <w:szCs w:val="20"/>
                <w:lang w:eastAsia="en-GB"/>
              </w:rPr>
            </w:pPr>
            <w:r w:rsidRPr="00434085">
              <w:rPr>
                <w:rFonts w:eastAsia="Times New Roman" w:cs="Times New Roman"/>
                <w:color w:val="000000"/>
                <w:sz w:val="20"/>
                <w:szCs w:val="20"/>
                <w:lang w:eastAsia="en-GB"/>
              </w:rPr>
              <w:t>There is a reasonable level of assurance that processes and procedures are in place and are delivering data protection compliance. The audit has identified some scope for improvement in existing arrangements to reduce the risk of non-compliance with data protection legislation.</w:t>
            </w:r>
          </w:p>
        </w:tc>
      </w:tr>
      <w:tr w:rsidR="00434085" w:rsidRPr="00434085" w14:paraId="16C3FC93" w14:textId="77777777" w:rsidTr="007C5342">
        <w:trPr>
          <w:trHeight w:val="1410"/>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FF34964" w14:textId="77777777" w:rsidR="00434085" w:rsidRPr="00434085" w:rsidRDefault="00434085" w:rsidP="00434085">
            <w:pPr>
              <w:spacing w:after="0" w:line="240" w:lineRule="auto"/>
              <w:jc w:val="center"/>
              <w:rPr>
                <w:rFonts w:eastAsia="Times New Roman" w:cs="Times New Roman"/>
                <w:color w:val="000000"/>
                <w:lang w:eastAsia="en-GB"/>
              </w:rPr>
            </w:pPr>
            <w:r w:rsidRPr="00434085">
              <w:rPr>
                <w:rFonts w:eastAsia="Times New Roman" w:cs="Times New Roman"/>
                <w:color w:val="000000"/>
                <w:lang w:eastAsia="en-GB"/>
              </w:rPr>
              <w:t>Training &amp; Awareness</w:t>
            </w:r>
          </w:p>
        </w:tc>
        <w:tc>
          <w:tcPr>
            <w:tcW w:w="3340" w:type="dxa"/>
            <w:tcBorders>
              <w:top w:val="nil"/>
              <w:left w:val="nil"/>
              <w:bottom w:val="single" w:sz="4" w:space="0" w:color="auto"/>
              <w:right w:val="single" w:sz="4" w:space="0" w:color="auto"/>
            </w:tcBorders>
            <w:shd w:val="clear" w:color="000000" w:fill="FFC000"/>
            <w:noWrap/>
            <w:vAlign w:val="center"/>
            <w:hideMark/>
          </w:tcPr>
          <w:p w14:paraId="43535878" w14:textId="77777777" w:rsidR="00434085" w:rsidRPr="00434085" w:rsidRDefault="00434085" w:rsidP="00434085">
            <w:pPr>
              <w:spacing w:after="0" w:line="240" w:lineRule="auto"/>
              <w:jc w:val="center"/>
              <w:rPr>
                <w:rFonts w:eastAsia="Times New Roman" w:cs="Times New Roman"/>
                <w:color w:val="000000"/>
                <w:lang w:eastAsia="en-GB"/>
              </w:rPr>
            </w:pPr>
            <w:r w:rsidRPr="00434085">
              <w:rPr>
                <w:rFonts w:eastAsia="Times New Roman" w:cs="Times New Roman"/>
                <w:color w:val="000000"/>
                <w:lang w:eastAsia="en-GB"/>
              </w:rPr>
              <w:t>Limited</w:t>
            </w:r>
          </w:p>
        </w:tc>
        <w:tc>
          <w:tcPr>
            <w:tcW w:w="6880" w:type="dxa"/>
            <w:tcBorders>
              <w:top w:val="nil"/>
              <w:left w:val="nil"/>
              <w:bottom w:val="single" w:sz="4" w:space="0" w:color="auto"/>
              <w:right w:val="single" w:sz="4" w:space="0" w:color="auto"/>
            </w:tcBorders>
            <w:shd w:val="clear" w:color="auto" w:fill="auto"/>
            <w:vAlign w:val="center"/>
            <w:hideMark/>
          </w:tcPr>
          <w:p w14:paraId="6F75D6F2" w14:textId="77777777" w:rsidR="00434085" w:rsidRPr="00434085" w:rsidRDefault="00434085" w:rsidP="00434085">
            <w:pPr>
              <w:spacing w:after="0" w:line="240" w:lineRule="auto"/>
              <w:jc w:val="center"/>
              <w:rPr>
                <w:rFonts w:eastAsia="Times New Roman" w:cs="Times New Roman"/>
                <w:color w:val="000000"/>
                <w:sz w:val="20"/>
                <w:szCs w:val="20"/>
                <w:lang w:eastAsia="en-GB"/>
              </w:rPr>
            </w:pPr>
            <w:r w:rsidRPr="00434085">
              <w:rPr>
                <w:rFonts w:eastAsia="Times New Roman" w:cs="Times New Roman"/>
                <w:color w:val="000000"/>
                <w:sz w:val="20"/>
                <w:szCs w:val="20"/>
                <w:lang w:eastAsia="en-GB"/>
              </w:rPr>
              <w:t xml:space="preserve">There is a limited level of assurance that processes and procedures are in place and are delivering data protection compliance. The audit has identified considerable scope for improvement in existing arrangements to reduce the risk of non-compliance with data protection legislation. </w:t>
            </w:r>
          </w:p>
        </w:tc>
      </w:tr>
      <w:tr w:rsidR="00434085" w:rsidRPr="00434085" w14:paraId="4EC22A16" w14:textId="77777777" w:rsidTr="007C5342">
        <w:trPr>
          <w:trHeight w:val="1425"/>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77BD5436" w14:textId="77777777" w:rsidR="00434085" w:rsidRPr="00434085" w:rsidRDefault="00434085" w:rsidP="00434085">
            <w:pPr>
              <w:spacing w:after="0" w:line="240" w:lineRule="auto"/>
              <w:jc w:val="center"/>
              <w:rPr>
                <w:rFonts w:eastAsia="Times New Roman" w:cs="Times New Roman"/>
                <w:color w:val="000000"/>
                <w:lang w:eastAsia="en-GB"/>
              </w:rPr>
            </w:pPr>
            <w:r w:rsidRPr="00434085">
              <w:rPr>
                <w:rFonts w:eastAsia="Times New Roman" w:cs="Times New Roman"/>
                <w:color w:val="000000"/>
                <w:lang w:eastAsia="en-GB"/>
              </w:rPr>
              <w:t>Data Sharing</w:t>
            </w:r>
          </w:p>
        </w:tc>
        <w:tc>
          <w:tcPr>
            <w:tcW w:w="3340" w:type="dxa"/>
            <w:tcBorders>
              <w:top w:val="nil"/>
              <w:left w:val="nil"/>
              <w:bottom w:val="single" w:sz="4" w:space="0" w:color="auto"/>
              <w:right w:val="single" w:sz="4" w:space="0" w:color="auto"/>
            </w:tcBorders>
            <w:shd w:val="clear" w:color="000000" w:fill="FFC000"/>
            <w:noWrap/>
            <w:vAlign w:val="center"/>
            <w:hideMark/>
          </w:tcPr>
          <w:p w14:paraId="3554A064" w14:textId="77777777" w:rsidR="00434085" w:rsidRPr="00434085" w:rsidRDefault="00434085" w:rsidP="00434085">
            <w:pPr>
              <w:spacing w:after="0" w:line="240" w:lineRule="auto"/>
              <w:jc w:val="center"/>
              <w:rPr>
                <w:rFonts w:eastAsia="Times New Roman" w:cs="Times New Roman"/>
                <w:color w:val="000000"/>
                <w:lang w:eastAsia="en-GB"/>
              </w:rPr>
            </w:pPr>
            <w:r w:rsidRPr="00434085">
              <w:rPr>
                <w:rFonts w:eastAsia="Times New Roman" w:cs="Times New Roman"/>
                <w:color w:val="000000"/>
                <w:lang w:eastAsia="en-GB"/>
              </w:rPr>
              <w:t>Limited</w:t>
            </w:r>
          </w:p>
        </w:tc>
        <w:tc>
          <w:tcPr>
            <w:tcW w:w="6880" w:type="dxa"/>
            <w:tcBorders>
              <w:top w:val="nil"/>
              <w:left w:val="nil"/>
              <w:bottom w:val="single" w:sz="4" w:space="0" w:color="auto"/>
              <w:right w:val="single" w:sz="4" w:space="0" w:color="auto"/>
            </w:tcBorders>
            <w:shd w:val="clear" w:color="auto" w:fill="auto"/>
            <w:vAlign w:val="center"/>
            <w:hideMark/>
          </w:tcPr>
          <w:p w14:paraId="0A99F113" w14:textId="77777777" w:rsidR="00434085" w:rsidRPr="00434085" w:rsidRDefault="00434085" w:rsidP="00434085">
            <w:pPr>
              <w:spacing w:after="0" w:line="240" w:lineRule="auto"/>
              <w:jc w:val="center"/>
              <w:rPr>
                <w:rFonts w:eastAsia="Times New Roman" w:cs="Times New Roman"/>
                <w:color w:val="000000"/>
                <w:sz w:val="20"/>
                <w:szCs w:val="20"/>
                <w:lang w:eastAsia="en-GB"/>
              </w:rPr>
            </w:pPr>
            <w:r w:rsidRPr="00434085">
              <w:rPr>
                <w:rFonts w:eastAsia="Times New Roman" w:cs="Times New Roman"/>
                <w:color w:val="000000"/>
                <w:sz w:val="20"/>
                <w:szCs w:val="20"/>
                <w:lang w:eastAsia="en-GB"/>
              </w:rPr>
              <w:t xml:space="preserve">There is a limited level of assurance that processes and procedures are in place and are delivering data protection compliance. The audit has identified considerable scope for improvement in existing arrangements to reduce the risk of non-compliance with data protection legislation. </w:t>
            </w:r>
          </w:p>
        </w:tc>
      </w:tr>
    </w:tbl>
    <w:p w14:paraId="49A88BB0" w14:textId="77777777" w:rsidR="00434085" w:rsidRDefault="00434085" w:rsidP="00434085"/>
    <w:tbl>
      <w:tblPr>
        <w:tblStyle w:val="TableGrid"/>
        <w:tblW w:w="0" w:type="auto"/>
        <w:jc w:val="center"/>
        <w:tblLook w:val="04A0" w:firstRow="1" w:lastRow="0" w:firstColumn="1" w:lastColumn="0" w:noHBand="0" w:noVBand="1"/>
      </w:tblPr>
      <w:tblGrid>
        <w:gridCol w:w="6617"/>
      </w:tblGrid>
      <w:tr w:rsidR="00434085" w14:paraId="3C1E84DE" w14:textId="77777777" w:rsidTr="007C5342">
        <w:trPr>
          <w:trHeight w:val="306"/>
          <w:jc w:val="center"/>
        </w:trPr>
        <w:tc>
          <w:tcPr>
            <w:tcW w:w="6617" w:type="dxa"/>
            <w:shd w:val="clear" w:color="auto" w:fill="002060"/>
          </w:tcPr>
          <w:p w14:paraId="2F53C7A3" w14:textId="77777777" w:rsidR="00434085" w:rsidRPr="0000120E" w:rsidRDefault="00434085" w:rsidP="000E3E1B">
            <w:pPr>
              <w:tabs>
                <w:tab w:val="left" w:pos="4965"/>
              </w:tabs>
              <w:jc w:val="center"/>
              <w:rPr>
                <w:sz w:val="24"/>
                <w:szCs w:val="24"/>
              </w:rPr>
            </w:pPr>
            <w:r>
              <w:rPr>
                <w:sz w:val="24"/>
                <w:szCs w:val="24"/>
              </w:rPr>
              <w:t xml:space="preserve">ICO </w:t>
            </w:r>
            <w:r w:rsidRPr="0000120E">
              <w:rPr>
                <w:sz w:val="24"/>
                <w:szCs w:val="24"/>
              </w:rPr>
              <w:t>Assurance Ratings</w:t>
            </w:r>
          </w:p>
        </w:tc>
      </w:tr>
      <w:tr w:rsidR="00434085" w14:paraId="09B2C31D" w14:textId="77777777" w:rsidTr="007C5342">
        <w:trPr>
          <w:trHeight w:val="290"/>
          <w:jc w:val="center"/>
        </w:trPr>
        <w:tc>
          <w:tcPr>
            <w:tcW w:w="6617" w:type="dxa"/>
            <w:shd w:val="clear" w:color="auto" w:fill="00B050"/>
          </w:tcPr>
          <w:p w14:paraId="79DC0B84" w14:textId="77777777" w:rsidR="00434085" w:rsidRDefault="00434085" w:rsidP="000E3E1B">
            <w:pPr>
              <w:tabs>
                <w:tab w:val="left" w:pos="4965"/>
              </w:tabs>
              <w:jc w:val="center"/>
            </w:pPr>
            <w:r>
              <w:t>High</w:t>
            </w:r>
          </w:p>
        </w:tc>
      </w:tr>
      <w:tr w:rsidR="00434085" w14:paraId="0C3BFD0F" w14:textId="77777777" w:rsidTr="007C5342">
        <w:trPr>
          <w:trHeight w:val="273"/>
          <w:jc w:val="center"/>
        </w:trPr>
        <w:tc>
          <w:tcPr>
            <w:tcW w:w="6617" w:type="dxa"/>
            <w:shd w:val="clear" w:color="auto" w:fill="FFFF00"/>
          </w:tcPr>
          <w:p w14:paraId="29F3E243" w14:textId="77777777" w:rsidR="00434085" w:rsidRDefault="00434085" w:rsidP="000E3E1B">
            <w:pPr>
              <w:tabs>
                <w:tab w:val="left" w:pos="4965"/>
              </w:tabs>
              <w:jc w:val="center"/>
            </w:pPr>
            <w:r>
              <w:t>Reasonable</w:t>
            </w:r>
          </w:p>
        </w:tc>
      </w:tr>
      <w:tr w:rsidR="00434085" w14:paraId="4FC8E0A1" w14:textId="77777777" w:rsidTr="007C5342">
        <w:trPr>
          <w:trHeight w:val="290"/>
          <w:jc w:val="center"/>
        </w:trPr>
        <w:tc>
          <w:tcPr>
            <w:tcW w:w="6617" w:type="dxa"/>
            <w:shd w:val="clear" w:color="auto" w:fill="FFC000"/>
          </w:tcPr>
          <w:p w14:paraId="7467DE52" w14:textId="77777777" w:rsidR="00434085" w:rsidRDefault="00434085" w:rsidP="000E3E1B">
            <w:pPr>
              <w:tabs>
                <w:tab w:val="left" w:pos="4965"/>
              </w:tabs>
              <w:jc w:val="center"/>
            </w:pPr>
            <w:r>
              <w:t>Limited</w:t>
            </w:r>
          </w:p>
        </w:tc>
      </w:tr>
      <w:tr w:rsidR="00434085" w14:paraId="09EC7576" w14:textId="77777777" w:rsidTr="007C5342">
        <w:trPr>
          <w:trHeight w:val="290"/>
          <w:jc w:val="center"/>
        </w:trPr>
        <w:tc>
          <w:tcPr>
            <w:tcW w:w="6617" w:type="dxa"/>
            <w:shd w:val="clear" w:color="auto" w:fill="FF0000"/>
          </w:tcPr>
          <w:p w14:paraId="685E6F9B" w14:textId="77777777" w:rsidR="00434085" w:rsidRDefault="00434085" w:rsidP="000E3E1B">
            <w:pPr>
              <w:tabs>
                <w:tab w:val="left" w:pos="4965"/>
              </w:tabs>
              <w:jc w:val="center"/>
            </w:pPr>
            <w:r>
              <w:t>Very Limited</w:t>
            </w:r>
          </w:p>
        </w:tc>
      </w:tr>
    </w:tbl>
    <w:p w14:paraId="0525CDB0" w14:textId="77777777" w:rsidR="0032057B" w:rsidRDefault="0032057B" w:rsidP="0032057B"/>
    <w:p w14:paraId="67B690ED" w14:textId="30FBAA4A" w:rsidR="00434085" w:rsidRDefault="00434085" w:rsidP="0032057B"/>
    <w:p w14:paraId="5B2EE45D" w14:textId="77777777" w:rsidR="00434085" w:rsidRDefault="00434085" w:rsidP="0032057B"/>
    <w:tbl>
      <w:tblPr>
        <w:tblpPr w:leftFromText="180" w:rightFromText="180" w:vertAnchor="text" w:horzAnchor="margin" w:tblpXSpec="right" w:tblpY="589"/>
        <w:tblW w:w="1938" w:type="pct"/>
        <w:tblCellMar>
          <w:left w:w="0" w:type="dxa"/>
          <w:right w:w="0" w:type="dxa"/>
        </w:tblCellMar>
        <w:tblLook w:val="04A0" w:firstRow="1" w:lastRow="0" w:firstColumn="1" w:lastColumn="0" w:noHBand="0" w:noVBand="1"/>
      </w:tblPr>
      <w:tblGrid>
        <w:gridCol w:w="5494"/>
      </w:tblGrid>
      <w:tr w:rsidR="007C5342" w:rsidRPr="0056549D" w14:paraId="78902F97" w14:textId="77777777" w:rsidTr="007C5342">
        <w:trPr>
          <w:trHeight w:val="530"/>
        </w:trPr>
        <w:tc>
          <w:tcPr>
            <w:tcW w:w="5000" w:type="pct"/>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tcPr>
          <w:p w14:paraId="52B4AE51" w14:textId="77777777" w:rsidR="007C5342" w:rsidRPr="0056549D" w:rsidRDefault="007C5342" w:rsidP="007C5342">
            <w:pPr>
              <w:spacing w:before="120" w:after="120" w:line="240" w:lineRule="auto"/>
              <w:rPr>
                <w:rFonts w:eastAsia="Calibri" w:cs="Times New Roman"/>
                <w:b/>
                <w:bCs/>
              </w:rPr>
            </w:pPr>
            <w:r>
              <w:rPr>
                <w:rFonts w:eastAsia="Calibri" w:cs="Times New Roman"/>
                <w:b/>
                <w:bCs/>
              </w:rPr>
              <w:t>Recommendation Priority Ratings Descriptions</w:t>
            </w:r>
          </w:p>
        </w:tc>
      </w:tr>
      <w:tr w:rsidR="007C5342" w:rsidRPr="00BE7CDC" w14:paraId="287EE1DD" w14:textId="77777777" w:rsidTr="007C5342">
        <w:trPr>
          <w:trHeight w:val="530"/>
        </w:trPr>
        <w:tc>
          <w:tcPr>
            <w:tcW w:w="5000" w:type="pct"/>
            <w:tcBorders>
              <w:top w:val="single" w:sz="8" w:space="0" w:color="auto"/>
              <w:left w:val="single" w:sz="8" w:space="0" w:color="auto"/>
              <w:bottom w:val="single" w:sz="8" w:space="0" w:color="auto"/>
              <w:right w:val="single" w:sz="8" w:space="0" w:color="auto"/>
            </w:tcBorders>
            <w:shd w:val="clear" w:color="auto" w:fill="B2A1C7" w:themeFill="accent4" w:themeFillTint="99"/>
            <w:tcMar>
              <w:top w:w="0" w:type="dxa"/>
              <w:left w:w="108" w:type="dxa"/>
              <w:bottom w:w="0" w:type="dxa"/>
              <w:right w:w="108" w:type="dxa"/>
            </w:tcMar>
            <w:vAlign w:val="center"/>
            <w:hideMark/>
          </w:tcPr>
          <w:p w14:paraId="4E7EAFB6" w14:textId="77777777" w:rsidR="007C5342" w:rsidRPr="00BE7CDC" w:rsidRDefault="007C5342" w:rsidP="007C5342">
            <w:pPr>
              <w:spacing w:before="120" w:after="120" w:line="240" w:lineRule="auto"/>
              <w:rPr>
                <w:rFonts w:eastAsia="Calibri" w:cs="Times New Roman"/>
                <w:sz w:val="18"/>
                <w:szCs w:val="18"/>
              </w:rPr>
            </w:pPr>
            <w:r w:rsidRPr="00BE7CDC">
              <w:rPr>
                <w:rFonts w:eastAsia="Calibri" w:cs="Times New Roman"/>
                <w:b/>
                <w:bCs/>
                <w:sz w:val="18"/>
                <w:szCs w:val="18"/>
              </w:rPr>
              <w:t>Urgent Priority Recommendations</w:t>
            </w:r>
            <w:r w:rsidRPr="00BE7CDC">
              <w:rPr>
                <w:rFonts w:eastAsia="Calibri" w:cs="Times New Roman"/>
                <w:sz w:val="18"/>
                <w:szCs w:val="18"/>
              </w:rPr>
              <w:t xml:space="preserve"> -</w:t>
            </w:r>
          </w:p>
          <w:p w14:paraId="6D27BCB2" w14:textId="77777777" w:rsidR="007C5342" w:rsidRPr="00BE7CDC" w:rsidRDefault="007C5342" w:rsidP="007C5342">
            <w:pPr>
              <w:spacing w:before="120" w:after="120" w:line="240" w:lineRule="auto"/>
              <w:rPr>
                <w:rFonts w:eastAsia="Calibri" w:cs="Times New Roman"/>
                <w:b/>
                <w:bCs/>
                <w:sz w:val="18"/>
                <w:szCs w:val="18"/>
              </w:rPr>
            </w:pPr>
            <w:r w:rsidRPr="00BE7CDC">
              <w:rPr>
                <w:rFonts w:eastAsia="Calibri" w:cs="Times New Roman"/>
                <w:sz w:val="18"/>
                <w:szCs w:val="18"/>
              </w:rPr>
              <w:t>These recommendations are intended to address risks which represent clear and immediate risks to the data controller’s ability to comply with the requirements of data protection legislation.</w:t>
            </w:r>
          </w:p>
        </w:tc>
      </w:tr>
      <w:tr w:rsidR="007C5342" w:rsidRPr="00BE7CDC" w14:paraId="658B59AF" w14:textId="77777777" w:rsidTr="007C5342">
        <w:trPr>
          <w:trHeight w:val="401"/>
        </w:trPr>
        <w:tc>
          <w:tcPr>
            <w:tcW w:w="5000" w:type="pct"/>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14:paraId="26ABB606" w14:textId="77777777" w:rsidR="007C5342" w:rsidRPr="00BE7CDC" w:rsidRDefault="007C5342" w:rsidP="007C5342">
            <w:pPr>
              <w:spacing w:before="120" w:after="120" w:line="240" w:lineRule="auto"/>
              <w:rPr>
                <w:rFonts w:eastAsia="Calibri" w:cs="Times New Roman"/>
                <w:sz w:val="18"/>
                <w:szCs w:val="18"/>
              </w:rPr>
            </w:pPr>
            <w:r w:rsidRPr="00BE7CDC">
              <w:rPr>
                <w:rFonts w:eastAsia="Calibri" w:cs="Times New Roman"/>
                <w:b/>
                <w:bCs/>
                <w:sz w:val="18"/>
                <w:szCs w:val="18"/>
              </w:rPr>
              <w:t>High Priority Recommendations</w:t>
            </w:r>
            <w:r w:rsidRPr="00BE7CDC">
              <w:rPr>
                <w:rFonts w:eastAsia="Calibri" w:cs="Times New Roman"/>
                <w:sz w:val="18"/>
                <w:szCs w:val="18"/>
              </w:rPr>
              <w:t xml:space="preserve"> -</w:t>
            </w:r>
          </w:p>
          <w:p w14:paraId="2472DCBF" w14:textId="77777777" w:rsidR="007C5342" w:rsidRPr="00BE7CDC" w:rsidRDefault="007C5342" w:rsidP="007C5342">
            <w:pPr>
              <w:spacing w:before="120" w:after="120" w:line="240" w:lineRule="auto"/>
              <w:rPr>
                <w:rFonts w:eastAsia="Calibri" w:cs="Times New Roman"/>
                <w:sz w:val="18"/>
                <w:szCs w:val="18"/>
              </w:rPr>
            </w:pPr>
            <w:r w:rsidRPr="00BE7CDC">
              <w:rPr>
                <w:rFonts w:eastAsia="Calibri" w:cs="Times New Roman"/>
                <w:sz w:val="18"/>
                <w:szCs w:val="18"/>
              </w:rPr>
              <w:lastRenderedPageBreak/>
              <w:t>These recommendations address risks which should be tackled at the earliest opportunity to mitigate the chances of a breach of data protection legislation.</w:t>
            </w:r>
          </w:p>
        </w:tc>
      </w:tr>
      <w:tr w:rsidR="007C5342" w:rsidRPr="00BE7CDC" w14:paraId="63E14681" w14:textId="77777777" w:rsidTr="007C5342">
        <w:trPr>
          <w:trHeight w:val="530"/>
        </w:trPr>
        <w:tc>
          <w:tcPr>
            <w:tcW w:w="5000" w:type="pct"/>
            <w:tcBorders>
              <w:top w:val="nil"/>
              <w:left w:val="single" w:sz="8" w:space="0" w:color="auto"/>
              <w:bottom w:val="single" w:sz="8" w:space="0" w:color="auto"/>
              <w:right w:val="single" w:sz="8" w:space="0" w:color="auto"/>
            </w:tcBorders>
            <w:shd w:val="clear" w:color="auto" w:fill="F79646" w:themeFill="accent6"/>
            <w:tcMar>
              <w:top w:w="0" w:type="dxa"/>
              <w:left w:w="108" w:type="dxa"/>
              <w:bottom w:w="0" w:type="dxa"/>
              <w:right w:w="108" w:type="dxa"/>
            </w:tcMar>
            <w:vAlign w:val="center"/>
            <w:hideMark/>
          </w:tcPr>
          <w:p w14:paraId="2DFC87A9" w14:textId="77777777" w:rsidR="007C5342" w:rsidRPr="00BE7CDC" w:rsidRDefault="007C5342" w:rsidP="007C5342">
            <w:pPr>
              <w:spacing w:before="120" w:after="120" w:line="240" w:lineRule="auto"/>
              <w:rPr>
                <w:rFonts w:eastAsia="Calibri" w:cs="Times New Roman"/>
                <w:sz w:val="18"/>
                <w:szCs w:val="18"/>
              </w:rPr>
            </w:pPr>
            <w:r w:rsidRPr="00BE7CDC">
              <w:rPr>
                <w:rFonts w:eastAsia="Calibri" w:cs="Times New Roman"/>
                <w:b/>
                <w:bCs/>
                <w:sz w:val="18"/>
                <w:szCs w:val="18"/>
              </w:rPr>
              <w:lastRenderedPageBreak/>
              <w:t>Medium Priority Recommendations</w:t>
            </w:r>
            <w:r w:rsidRPr="00BE7CDC">
              <w:rPr>
                <w:rFonts w:eastAsia="Calibri" w:cs="Times New Roman"/>
                <w:sz w:val="18"/>
                <w:szCs w:val="18"/>
              </w:rPr>
              <w:t xml:space="preserve"> -</w:t>
            </w:r>
          </w:p>
          <w:p w14:paraId="4BED2640" w14:textId="77777777" w:rsidR="007C5342" w:rsidRPr="00BE7CDC" w:rsidRDefault="007C5342" w:rsidP="007C5342">
            <w:pPr>
              <w:spacing w:before="120" w:after="120" w:line="240" w:lineRule="auto"/>
              <w:rPr>
                <w:rFonts w:eastAsia="Calibri" w:cs="Times New Roman"/>
                <w:sz w:val="18"/>
                <w:szCs w:val="18"/>
              </w:rPr>
            </w:pPr>
            <w:r w:rsidRPr="00BE7CDC">
              <w:rPr>
                <w:rFonts w:eastAsia="Calibri" w:cs="Times New Roman"/>
                <w:sz w:val="18"/>
                <w:szCs w:val="18"/>
              </w:rPr>
              <w:t>These recommendations address medium level risks which can be tackled over a longer timeframe or where some mitigating controls are already in place, but could be enhanced.</w:t>
            </w:r>
          </w:p>
        </w:tc>
      </w:tr>
      <w:tr w:rsidR="007C5342" w:rsidRPr="00BE7CDC" w14:paraId="1D557320" w14:textId="77777777" w:rsidTr="007C5342">
        <w:trPr>
          <w:trHeight w:val="651"/>
        </w:trPr>
        <w:tc>
          <w:tcPr>
            <w:tcW w:w="5000" w:type="pct"/>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14:paraId="545ABA39" w14:textId="77777777" w:rsidR="007C5342" w:rsidRPr="00BE7CDC" w:rsidRDefault="007C5342" w:rsidP="007C5342">
            <w:pPr>
              <w:spacing w:before="120" w:after="120" w:line="240" w:lineRule="auto"/>
              <w:rPr>
                <w:rFonts w:eastAsia="Calibri" w:cs="Times New Roman"/>
                <w:sz w:val="18"/>
                <w:szCs w:val="18"/>
              </w:rPr>
            </w:pPr>
            <w:r w:rsidRPr="00BE7CDC">
              <w:rPr>
                <w:rFonts w:eastAsia="Calibri" w:cs="Times New Roman"/>
                <w:b/>
                <w:bCs/>
                <w:sz w:val="18"/>
                <w:szCs w:val="18"/>
              </w:rPr>
              <w:t xml:space="preserve">Low Priority Recommendations </w:t>
            </w:r>
            <w:r w:rsidRPr="00BE7CDC">
              <w:rPr>
                <w:rFonts w:eastAsia="Calibri" w:cs="Times New Roman"/>
                <w:sz w:val="18"/>
                <w:szCs w:val="18"/>
              </w:rPr>
              <w:t xml:space="preserve">– </w:t>
            </w:r>
          </w:p>
          <w:p w14:paraId="37A7041C" w14:textId="77777777" w:rsidR="007C5342" w:rsidRPr="00BE7CDC" w:rsidRDefault="007C5342" w:rsidP="007C5342">
            <w:pPr>
              <w:spacing w:before="120" w:after="120" w:line="240" w:lineRule="auto"/>
              <w:rPr>
                <w:rFonts w:eastAsia="Calibri" w:cs="Times New Roman"/>
                <w:b/>
                <w:bCs/>
                <w:sz w:val="18"/>
                <w:szCs w:val="18"/>
              </w:rPr>
            </w:pPr>
            <w:r w:rsidRPr="00BE7CDC">
              <w:rPr>
                <w:rFonts w:eastAsia="Calibri" w:cs="Times New Roman"/>
                <w:sz w:val="18"/>
                <w:szCs w:val="18"/>
              </w:rPr>
              <w:t>These recommendations represent enhancements to existing controls to ensure low level risks are fully mitigated or where we are recommending that the data controller sees existing plans through to completion.</w:t>
            </w:r>
          </w:p>
        </w:tc>
      </w:tr>
    </w:tbl>
    <w:p w14:paraId="165083F3" w14:textId="77777777" w:rsidR="0032057B" w:rsidRDefault="0032057B" w:rsidP="0032057B">
      <w:pPr>
        <w:rPr>
          <w:rFonts w:ascii="Georgia" w:hAnsi="Georgia"/>
          <w:color w:val="4F81BD" w:themeColor="accent1"/>
          <w:sz w:val="36"/>
          <w:szCs w:val="36"/>
        </w:rPr>
      </w:pPr>
      <w:r w:rsidRPr="0032057B">
        <w:rPr>
          <w:rFonts w:ascii="Georgia" w:hAnsi="Georgia"/>
          <w:color w:val="4F81BD" w:themeColor="accent1"/>
          <w:sz w:val="36"/>
          <w:szCs w:val="36"/>
        </w:rPr>
        <w:t>Priority Recommendations</w:t>
      </w:r>
    </w:p>
    <w:p w14:paraId="609113BC" w14:textId="77777777" w:rsidR="000B3D77" w:rsidRPr="0032057B" w:rsidRDefault="000B3D77" w:rsidP="0032057B">
      <w:pPr>
        <w:rPr>
          <w:rFonts w:ascii="Georgia" w:hAnsi="Georgia"/>
          <w:color w:val="4F81BD" w:themeColor="accent1"/>
          <w:sz w:val="36"/>
          <w:szCs w:val="36"/>
        </w:rPr>
      </w:pPr>
    </w:p>
    <w:p w14:paraId="53CDDC82" w14:textId="77777777" w:rsidR="007C5342" w:rsidRDefault="000B3D77" w:rsidP="007C5342">
      <w:r>
        <w:rPr>
          <w:noProof/>
          <w:lang w:eastAsia="en-GB"/>
        </w:rPr>
        <w:drawing>
          <wp:inline distT="0" distB="0" distL="0" distR="0" wp14:anchorId="1F760B62" wp14:editId="3F34D39C">
            <wp:extent cx="4533900" cy="30765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BE5074" w14:textId="2A09C4C1" w:rsidR="0032057B" w:rsidRDefault="0032057B" w:rsidP="007C5342"/>
    <w:p w14:paraId="289285E1" w14:textId="77777777" w:rsidR="00C31EC6" w:rsidRDefault="00C31EC6" w:rsidP="0032057B">
      <w:pPr>
        <w:rPr>
          <w:rFonts w:ascii="Georgia" w:hAnsi="Georgia"/>
          <w:color w:val="4F81BD" w:themeColor="accent1"/>
          <w:sz w:val="36"/>
          <w:szCs w:val="36"/>
        </w:rPr>
      </w:pPr>
    </w:p>
    <w:p w14:paraId="44E32907" w14:textId="7437C0F1" w:rsidR="000E3E1B" w:rsidRPr="00D747A4" w:rsidRDefault="000E3E1B" w:rsidP="000E3E1B">
      <w:pPr>
        <w:jc w:val="both"/>
        <w:rPr>
          <w:color w:val="FF0000"/>
        </w:rPr>
      </w:pPr>
    </w:p>
    <w:p w14:paraId="679E843C" w14:textId="77777777" w:rsidR="00DB4E0F" w:rsidRDefault="00DB4E0F" w:rsidP="00250A59">
      <w:pPr>
        <w:rPr>
          <w:rFonts w:ascii="Georgia" w:hAnsi="Georgia"/>
          <w:color w:val="4F81BD" w:themeColor="accent1"/>
          <w:sz w:val="36"/>
          <w:szCs w:val="36"/>
        </w:rPr>
      </w:pPr>
      <w:r>
        <w:rPr>
          <w:rFonts w:ascii="Georgia" w:hAnsi="Georgia"/>
          <w:color w:val="4F81BD" w:themeColor="accent1"/>
          <w:sz w:val="36"/>
          <w:szCs w:val="36"/>
        </w:rPr>
        <w:t>Good Practice</w:t>
      </w:r>
    </w:p>
    <w:p w14:paraId="1CA9E7F0" w14:textId="538E6F1F" w:rsidR="00DB4E0F" w:rsidRDefault="00DB4E0F" w:rsidP="00DB4E0F">
      <w:pPr>
        <w:spacing w:line="240" w:lineRule="auto"/>
        <w:rPr>
          <w:szCs w:val="28"/>
        </w:rPr>
      </w:pPr>
      <w:r w:rsidRPr="001E6046">
        <w:rPr>
          <w:szCs w:val="28"/>
        </w:rPr>
        <w:t xml:space="preserve">ICO auditors acknowledge that </w:t>
      </w:r>
      <w:r>
        <w:rPr>
          <w:szCs w:val="28"/>
        </w:rPr>
        <w:t>OAT</w:t>
      </w:r>
      <w:r w:rsidRPr="001E6046">
        <w:rPr>
          <w:szCs w:val="28"/>
        </w:rPr>
        <w:t xml:space="preserve"> have been working positively towards GDPR compliance</w:t>
      </w:r>
      <w:r>
        <w:rPr>
          <w:szCs w:val="28"/>
        </w:rPr>
        <w:t xml:space="preserve">, and in particular the installation and training </w:t>
      </w:r>
      <w:r>
        <w:rPr>
          <w:szCs w:val="28"/>
        </w:rPr>
        <w:lastRenderedPageBreak/>
        <w:t>of data protection leads at each academy is a positive step</w:t>
      </w:r>
      <w:r w:rsidR="008748D6">
        <w:rPr>
          <w:szCs w:val="28"/>
        </w:rPr>
        <w:t>. This means that OAT already have in a place a structure that will enable the improvements recommended in this report to be implemented effectively across all of OAT’s 38 academies.</w:t>
      </w:r>
    </w:p>
    <w:p w14:paraId="61DF6E11" w14:textId="77777777" w:rsidR="004149DB" w:rsidRPr="00DB4E0F" w:rsidRDefault="004149DB" w:rsidP="00DB4E0F">
      <w:pPr>
        <w:spacing w:line="240" w:lineRule="auto"/>
        <w:rPr>
          <w:szCs w:val="28"/>
        </w:rPr>
      </w:pPr>
    </w:p>
    <w:p w14:paraId="6BA5FDFA" w14:textId="5ABF1171" w:rsidR="00D84C85" w:rsidRPr="00820514" w:rsidRDefault="00820514" w:rsidP="00250A59">
      <w:pPr>
        <w:rPr>
          <w:rFonts w:ascii="Georgia" w:hAnsi="Georgia"/>
          <w:color w:val="4F81BD" w:themeColor="accent1"/>
          <w:sz w:val="36"/>
          <w:szCs w:val="36"/>
        </w:rPr>
      </w:pPr>
      <w:r w:rsidRPr="00820514">
        <w:rPr>
          <w:rFonts w:ascii="Georgia" w:hAnsi="Georgia"/>
          <w:color w:val="4F81BD" w:themeColor="accent1"/>
          <w:sz w:val="36"/>
          <w:szCs w:val="36"/>
        </w:rPr>
        <w:t>Areas for Improvement</w:t>
      </w:r>
    </w:p>
    <w:p w14:paraId="7DF47672" w14:textId="5A33446D" w:rsidR="00C30020" w:rsidRPr="007A1246" w:rsidRDefault="00C30020" w:rsidP="00C30020">
      <w:pPr>
        <w:rPr>
          <w:szCs w:val="28"/>
        </w:rPr>
      </w:pPr>
      <w:r w:rsidRPr="007A1246">
        <w:rPr>
          <w:szCs w:val="28"/>
        </w:rPr>
        <w:t>Put in place a formalised DPIA procedure, i.e. a prescribed risk assessment for high risk processing which assesses the impact on the rights and freedoms of the data subjects and sets out the subsequent miti</w:t>
      </w:r>
      <w:r w:rsidR="0005207D" w:rsidRPr="007A1246">
        <w:rPr>
          <w:szCs w:val="28"/>
        </w:rPr>
        <w:t>gations to control these risks.</w:t>
      </w:r>
    </w:p>
    <w:p w14:paraId="5624E762" w14:textId="344AED26" w:rsidR="00C30020" w:rsidRPr="007A1246" w:rsidRDefault="00C30020" w:rsidP="00C30020">
      <w:pPr>
        <w:rPr>
          <w:szCs w:val="28"/>
        </w:rPr>
      </w:pPr>
      <w:r w:rsidRPr="007A1246">
        <w:rPr>
          <w:szCs w:val="28"/>
        </w:rPr>
        <w:t>Update all existing contracts with data processors so that they fully comply with Article</w:t>
      </w:r>
      <w:r w:rsidR="0005207D" w:rsidRPr="007A1246">
        <w:rPr>
          <w:szCs w:val="28"/>
        </w:rPr>
        <w:t xml:space="preserve"> 28 of the GDPR.</w:t>
      </w:r>
    </w:p>
    <w:p w14:paraId="46CD6FA4" w14:textId="63D2A54D" w:rsidR="00C30020" w:rsidRPr="007A1246" w:rsidRDefault="00C30020" w:rsidP="00C30020">
      <w:pPr>
        <w:rPr>
          <w:szCs w:val="28"/>
        </w:rPr>
      </w:pPr>
      <w:r w:rsidRPr="007A1246">
        <w:rPr>
          <w:szCs w:val="28"/>
        </w:rPr>
        <w:t>Nominate one of OAT’s trustees to be the individual with responsibility for Information Governance and Data Protection to help ensure compliance with Article 5 (2) of the GDPR</w:t>
      </w:r>
      <w:r w:rsidR="0005207D" w:rsidRPr="007A1246">
        <w:rPr>
          <w:szCs w:val="28"/>
        </w:rPr>
        <w:t>; the accountability principle.</w:t>
      </w:r>
    </w:p>
    <w:p w14:paraId="1BE2DADC" w14:textId="231C703D" w:rsidR="00C30020" w:rsidRPr="007A1246" w:rsidRDefault="00C30020" w:rsidP="00C30020">
      <w:pPr>
        <w:rPr>
          <w:szCs w:val="28"/>
        </w:rPr>
      </w:pPr>
      <w:r w:rsidRPr="007A1246">
        <w:rPr>
          <w:szCs w:val="28"/>
        </w:rPr>
        <w:t>Put in place a system to ensure there is specific role based training provided to key members of staff with information governance and data protection responsibilities.</w:t>
      </w:r>
    </w:p>
    <w:p w14:paraId="4BFE575E" w14:textId="518C182B" w:rsidR="00C30020" w:rsidRPr="007A1246" w:rsidRDefault="00C30020" w:rsidP="00C30020">
      <w:pPr>
        <w:rPr>
          <w:szCs w:val="28"/>
        </w:rPr>
      </w:pPr>
      <w:r w:rsidRPr="007A1246">
        <w:rPr>
          <w:szCs w:val="28"/>
        </w:rPr>
        <w:t>Ensure that training completion rates are monitored at</w:t>
      </w:r>
      <w:r w:rsidR="0005207D" w:rsidRPr="007A1246">
        <w:rPr>
          <w:szCs w:val="28"/>
        </w:rPr>
        <w:t xml:space="preserve"> head office and academy level.</w:t>
      </w:r>
    </w:p>
    <w:p w14:paraId="4E34B424" w14:textId="2C892590" w:rsidR="00C30020" w:rsidRPr="007A1246" w:rsidRDefault="00C30020" w:rsidP="00C30020">
      <w:pPr>
        <w:rPr>
          <w:szCs w:val="28"/>
        </w:rPr>
      </w:pPr>
      <w:r w:rsidRPr="007A1246">
        <w:rPr>
          <w:szCs w:val="28"/>
        </w:rPr>
        <w:t>Ensure that there is oversight of additional or specialised training used by the academies. It is important that there is mandated criteria for the third party providers such as an a</w:t>
      </w:r>
      <w:r w:rsidR="0005207D" w:rsidRPr="007A1246">
        <w:rPr>
          <w:szCs w:val="28"/>
        </w:rPr>
        <w:t>ssessment or minimum pass rate.</w:t>
      </w:r>
    </w:p>
    <w:p w14:paraId="43245937" w14:textId="663B0916" w:rsidR="00C30020" w:rsidRPr="007A1246" w:rsidRDefault="00C30020" w:rsidP="00C30020">
      <w:pPr>
        <w:rPr>
          <w:szCs w:val="28"/>
        </w:rPr>
      </w:pPr>
      <w:r w:rsidRPr="007A1246">
        <w:rPr>
          <w:szCs w:val="28"/>
        </w:rPr>
        <w:t xml:space="preserve">Put in place a system of formalised assessment of the legality of data sharing. This should include a determination of whether there is a lawful basis for sharing, an express or implied legal power; and in the case </w:t>
      </w:r>
      <w:r w:rsidRPr="007A1246">
        <w:rPr>
          <w:szCs w:val="28"/>
        </w:rPr>
        <w:lastRenderedPageBreak/>
        <w:t>of special category data that the necessary condition for processing in the GDPR and Data Protection Act 2018 c</w:t>
      </w:r>
      <w:r w:rsidR="0005207D" w:rsidRPr="007A1246">
        <w:rPr>
          <w:szCs w:val="28"/>
        </w:rPr>
        <w:t>an also be satisfied.</w:t>
      </w:r>
    </w:p>
    <w:p w14:paraId="647F6613" w14:textId="77777777" w:rsidR="00C30020" w:rsidRPr="007A1246" w:rsidRDefault="00C30020" w:rsidP="00C30020">
      <w:pPr>
        <w:rPr>
          <w:szCs w:val="28"/>
        </w:rPr>
      </w:pPr>
      <w:r w:rsidRPr="007A1246">
        <w:rPr>
          <w:szCs w:val="28"/>
        </w:rPr>
        <w:t>Ensure there are data sharing agreements in place in relation to controller to controller data sharing arrangements and that they include high level matters such as setting out the common rules to be followed by all partners. They should also include, for example, formalised arrangements for the reporting, investigation and resolution of security incidents.</w:t>
      </w:r>
    </w:p>
    <w:p w14:paraId="067BD19B" w14:textId="77777777" w:rsidR="00C30020" w:rsidRDefault="00C30020" w:rsidP="00C30020">
      <w:pPr>
        <w:rPr>
          <w:rFonts w:ascii="Calibri" w:hAnsi="Calibri"/>
        </w:rPr>
      </w:pPr>
    </w:p>
    <w:p w14:paraId="5724CD99" w14:textId="77777777" w:rsidR="00C30020" w:rsidRDefault="00C30020" w:rsidP="00C30020">
      <w:pPr>
        <w:rPr>
          <w:sz w:val="24"/>
          <w:szCs w:val="24"/>
        </w:rPr>
      </w:pPr>
    </w:p>
    <w:p w14:paraId="409FE977" w14:textId="3A8DFF32" w:rsidR="00D61005" w:rsidRDefault="00D61005" w:rsidP="00D61005">
      <w:pPr>
        <w:tabs>
          <w:tab w:val="left" w:pos="2865"/>
        </w:tabs>
        <w:spacing w:before="120" w:after="720" w:line="240" w:lineRule="auto"/>
      </w:pPr>
    </w:p>
    <w:p w14:paraId="4FCB050F" w14:textId="77777777" w:rsidR="00D61005" w:rsidRDefault="00D61005" w:rsidP="00D61005">
      <w:pPr>
        <w:tabs>
          <w:tab w:val="left" w:pos="2865"/>
        </w:tabs>
        <w:spacing w:before="120" w:after="720" w:line="240" w:lineRule="auto"/>
      </w:pPr>
    </w:p>
    <w:p w14:paraId="04FB2536" w14:textId="3E701AD6" w:rsidR="003E2F19" w:rsidRDefault="003E2F19" w:rsidP="00D61005">
      <w:pPr>
        <w:tabs>
          <w:tab w:val="left" w:pos="2865"/>
        </w:tabs>
        <w:spacing w:before="120" w:after="720" w:line="240" w:lineRule="auto"/>
      </w:pPr>
    </w:p>
    <w:p w14:paraId="2A228869" w14:textId="77777777" w:rsidR="00D26D7D" w:rsidRDefault="00D26D7D" w:rsidP="00D61005">
      <w:pPr>
        <w:tabs>
          <w:tab w:val="left" w:pos="2865"/>
        </w:tabs>
        <w:spacing w:before="120" w:after="720" w:line="240" w:lineRule="auto"/>
      </w:pPr>
    </w:p>
    <w:p w14:paraId="7C07485D" w14:textId="77777777" w:rsidR="003E2F19" w:rsidRDefault="003E2F19" w:rsidP="00D61005">
      <w:pPr>
        <w:tabs>
          <w:tab w:val="left" w:pos="2865"/>
        </w:tabs>
        <w:spacing w:before="120" w:after="720" w:line="240" w:lineRule="auto"/>
      </w:pPr>
    </w:p>
    <w:p w14:paraId="4990CEF6" w14:textId="77777777" w:rsidR="00D61005" w:rsidRPr="00CB368B" w:rsidRDefault="00D61005" w:rsidP="00D61005">
      <w:pPr>
        <w:tabs>
          <w:tab w:val="left" w:pos="2865"/>
        </w:tabs>
        <w:spacing w:before="120" w:after="720" w:line="240" w:lineRule="auto"/>
        <w:sectPr w:rsidR="00D61005" w:rsidRPr="00CB368B" w:rsidSect="00690E0D">
          <w:headerReference w:type="default" r:id="rId18"/>
          <w:pgSz w:w="16838" w:h="11906" w:orient="landscape"/>
          <w:pgMar w:top="1440" w:right="1440" w:bottom="1440" w:left="1440" w:header="708" w:footer="708" w:gutter="0"/>
          <w:cols w:space="708"/>
          <w:docGrid w:linePitch="360"/>
        </w:sectPr>
      </w:pPr>
    </w:p>
    <w:p w14:paraId="4F502751" w14:textId="77777777" w:rsidR="00A5327F" w:rsidRDefault="00A5327F" w:rsidP="00880091">
      <w:pPr>
        <w:pStyle w:val="ListParagraph"/>
        <w:ind w:left="0"/>
      </w:pPr>
    </w:p>
    <w:p w14:paraId="51013FA4" w14:textId="77777777" w:rsidR="00A5327F" w:rsidRDefault="00A5327F" w:rsidP="00880091">
      <w:pPr>
        <w:pStyle w:val="ListParagraph"/>
        <w:ind w:left="0"/>
      </w:pPr>
    </w:p>
    <w:p w14:paraId="54E4DA14" w14:textId="43070D94" w:rsidR="003A426E" w:rsidRDefault="003A426E" w:rsidP="00880091">
      <w:pPr>
        <w:pStyle w:val="ListParagraph"/>
        <w:ind w:left="0"/>
      </w:pPr>
    </w:p>
    <w:p w14:paraId="1E83D820" w14:textId="77777777" w:rsidR="003A426E" w:rsidRDefault="003A426E" w:rsidP="00880091">
      <w:pPr>
        <w:pStyle w:val="ListParagraph"/>
        <w:ind w:left="0"/>
      </w:pPr>
    </w:p>
    <w:p w14:paraId="4B2BEF20" w14:textId="77777777" w:rsidR="003A426E" w:rsidRDefault="003A426E" w:rsidP="00880091">
      <w:pPr>
        <w:pStyle w:val="ListParagraph"/>
        <w:ind w:left="0"/>
      </w:pPr>
    </w:p>
    <w:p w14:paraId="7B38E824" w14:textId="77777777" w:rsidR="00880091" w:rsidRPr="00A5327F" w:rsidRDefault="00880091" w:rsidP="00A5327F">
      <w:pPr>
        <w:pStyle w:val="ListParagraph"/>
        <w:spacing w:line="240" w:lineRule="auto"/>
        <w:ind w:left="0"/>
        <w:rPr>
          <w:rFonts w:ascii="Georgia" w:hAnsi="Georgia"/>
          <w:sz w:val="28"/>
          <w:szCs w:val="28"/>
        </w:rPr>
      </w:pPr>
      <w:r w:rsidRPr="00A5327F">
        <w:rPr>
          <w:rFonts w:ascii="Georgia" w:hAnsi="Georgia"/>
          <w:sz w:val="28"/>
          <w:szCs w:val="28"/>
        </w:rPr>
        <w:t>Disclaimer</w:t>
      </w:r>
    </w:p>
    <w:p w14:paraId="512EA2A4" w14:textId="77777777" w:rsidR="00880091" w:rsidRPr="00A5327F" w:rsidRDefault="00880091" w:rsidP="00880091">
      <w:pPr>
        <w:rPr>
          <w:sz w:val="16"/>
          <w:szCs w:val="16"/>
        </w:rPr>
      </w:pPr>
      <w:r w:rsidRPr="00A5327F">
        <w:rPr>
          <w:sz w:val="16"/>
          <w:szCs w:val="16"/>
        </w:rPr>
        <w:lastRenderedPageBreak/>
        <w:t>The matters arising in this report are only those that came to our attention during the course of the audit and are not necessarily a comprehensive statement of all the areas requiring improvement.</w:t>
      </w:r>
    </w:p>
    <w:p w14:paraId="05224745" w14:textId="61E05DDB" w:rsidR="00880091" w:rsidRPr="00A5327F" w:rsidRDefault="00880091" w:rsidP="00880091">
      <w:pPr>
        <w:rPr>
          <w:sz w:val="16"/>
          <w:szCs w:val="16"/>
        </w:rPr>
      </w:pPr>
      <w:r w:rsidRPr="00A5327F">
        <w:rPr>
          <w:sz w:val="16"/>
          <w:szCs w:val="16"/>
        </w:rPr>
        <w:t>The responsibility for ensuring that there are adequate risk management, governance and internal control arrangements in place rest</w:t>
      </w:r>
      <w:r w:rsidR="00C76CC4">
        <w:rPr>
          <w:sz w:val="16"/>
          <w:szCs w:val="16"/>
        </w:rPr>
        <w:t>s</w:t>
      </w:r>
      <w:r w:rsidRPr="00A5327F">
        <w:rPr>
          <w:sz w:val="16"/>
          <w:szCs w:val="16"/>
        </w:rPr>
        <w:t xml:space="preserve"> with the management of </w:t>
      </w:r>
      <w:r w:rsidR="003A426E" w:rsidRPr="003A426E">
        <w:rPr>
          <w:sz w:val="16"/>
          <w:szCs w:val="16"/>
        </w:rPr>
        <w:t>Ormiston Academies Trust</w:t>
      </w:r>
      <w:r w:rsidRPr="003A426E">
        <w:rPr>
          <w:sz w:val="16"/>
          <w:szCs w:val="16"/>
        </w:rPr>
        <w:t>.</w:t>
      </w:r>
    </w:p>
    <w:p w14:paraId="0F14E5CE" w14:textId="77777777" w:rsidR="00880091" w:rsidRPr="00A5327F" w:rsidRDefault="00880091" w:rsidP="00880091">
      <w:pPr>
        <w:pStyle w:val="ListParagraph"/>
        <w:ind w:left="0"/>
        <w:rPr>
          <w:sz w:val="16"/>
          <w:szCs w:val="16"/>
        </w:rPr>
      </w:pPr>
      <w:r w:rsidRPr="00A5327F">
        <w:rPr>
          <w:sz w:val="16"/>
          <w:szCs w:val="16"/>
        </w:rPr>
        <w:t>We take all reasonable care to ensure that our audit report is fair and accurate but cannot accept any liability to any person or organisation, including any third party, for any loss or damage suffered or costs incurred by it arising out of, or in connection with, the use of this report, however such loss or damage is caused.  We cannot accept liability for loss occasioned to any person or organisation, including any third party, acting or refraining from acting as a result of any information contained in this report.</w:t>
      </w:r>
    </w:p>
    <w:p w14:paraId="2FC0CB1B" w14:textId="77777777" w:rsidR="00880091" w:rsidRPr="00A5327F" w:rsidRDefault="00880091" w:rsidP="00880091">
      <w:pPr>
        <w:pStyle w:val="ListParagraph"/>
        <w:ind w:left="0"/>
        <w:rPr>
          <w:sz w:val="16"/>
          <w:szCs w:val="16"/>
        </w:rPr>
      </w:pPr>
    </w:p>
    <w:p w14:paraId="123C984A" w14:textId="4319817B" w:rsidR="00880091" w:rsidRPr="00A87FD9" w:rsidRDefault="00880091" w:rsidP="00A87FD9">
      <w:pPr>
        <w:pStyle w:val="ListParagraph"/>
        <w:ind w:left="0"/>
        <w:rPr>
          <w:sz w:val="16"/>
          <w:szCs w:val="16"/>
        </w:rPr>
      </w:pPr>
      <w:r w:rsidRPr="00A5327F">
        <w:rPr>
          <w:sz w:val="16"/>
          <w:szCs w:val="16"/>
        </w:rPr>
        <w:t xml:space="preserve">This report is an exception report and is solely for the use of </w:t>
      </w:r>
      <w:r w:rsidR="003A426E" w:rsidRPr="003A426E">
        <w:rPr>
          <w:sz w:val="16"/>
          <w:szCs w:val="16"/>
        </w:rPr>
        <w:t>Ormiston Academies Trust</w:t>
      </w:r>
      <w:r w:rsidRPr="00A5327F">
        <w:rPr>
          <w:sz w:val="16"/>
          <w:szCs w:val="16"/>
        </w:rPr>
        <w:t xml:space="preserve">. The scope areas and controls covered by the audit have been tailored to </w:t>
      </w:r>
      <w:r w:rsidR="003A426E" w:rsidRPr="003A426E">
        <w:rPr>
          <w:sz w:val="16"/>
          <w:szCs w:val="16"/>
        </w:rPr>
        <w:t>Ormiston Academies Trust</w:t>
      </w:r>
      <w:r w:rsidR="003A426E" w:rsidRPr="00A5327F">
        <w:rPr>
          <w:sz w:val="16"/>
          <w:szCs w:val="16"/>
        </w:rPr>
        <w:t xml:space="preserve"> </w:t>
      </w:r>
      <w:r w:rsidRPr="00A5327F">
        <w:rPr>
          <w:sz w:val="16"/>
          <w:szCs w:val="16"/>
        </w:rPr>
        <w:t xml:space="preserve">and, as a result, the audit report is not intended to be used in comparison with other ICO audit reports.  </w:t>
      </w:r>
    </w:p>
    <w:sectPr w:rsidR="00880091" w:rsidRPr="00A87FD9" w:rsidSect="00265F02">
      <w:headerReference w:type="default" r:id="rId19"/>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D25CA" w14:textId="77777777" w:rsidR="000E31EA" w:rsidRDefault="000E31EA" w:rsidP="00D8445F">
      <w:pPr>
        <w:spacing w:after="0" w:line="240" w:lineRule="auto"/>
      </w:pPr>
      <w:r>
        <w:separator/>
      </w:r>
    </w:p>
  </w:endnote>
  <w:endnote w:type="continuationSeparator" w:id="0">
    <w:p w14:paraId="3F6A80B3" w14:textId="77777777" w:rsidR="000E31EA" w:rsidRDefault="000E31EA" w:rsidP="00D8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FD28B" w14:textId="4D2771F1" w:rsidR="000E31EA" w:rsidRPr="00E57988" w:rsidRDefault="000E31EA" w:rsidP="00880091">
    <w:pPr>
      <w:pStyle w:val="Footer"/>
    </w:pPr>
    <w:r w:rsidRPr="00E57988">
      <w:rPr>
        <w:rFonts w:ascii="Arial" w:eastAsia="Times New Roman" w:hAnsi="Arial" w:cs="Arial"/>
        <w:noProof/>
        <w:sz w:val="24"/>
        <w:szCs w:val="24"/>
        <w:lang w:eastAsia="en-GB"/>
      </w:rPr>
      <w:drawing>
        <wp:anchor distT="0" distB="0" distL="114300" distR="114300" simplePos="0" relativeHeight="251668480" behindDoc="0" locked="0" layoutInCell="1" allowOverlap="1" wp14:anchorId="214A3D76" wp14:editId="38248F17">
          <wp:simplePos x="0" y="0"/>
          <wp:positionH relativeFrom="column">
            <wp:posOffset>8649767</wp:posOffset>
          </wp:positionH>
          <wp:positionV relativeFrom="paragraph">
            <wp:posOffset>-151130</wp:posOffset>
          </wp:positionV>
          <wp:extent cx="825272" cy="544749"/>
          <wp:effectExtent l="0" t="0" r="0" b="825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272" cy="544749"/>
                  </a:xfrm>
                  <a:prstGeom prst="rect">
                    <a:avLst/>
                  </a:prstGeom>
                  <a:noFill/>
                </pic:spPr>
              </pic:pic>
            </a:graphicData>
          </a:graphic>
        </wp:anchor>
      </w:drawing>
    </w:r>
    <w:r w:rsidRPr="00E57988">
      <w:rPr>
        <w:rFonts w:ascii="Arial" w:eastAsia="Times New Roman" w:hAnsi="Arial" w:cs="Arial"/>
        <w:noProof/>
        <w:sz w:val="24"/>
        <w:szCs w:val="24"/>
        <w:lang w:eastAsia="en-GB"/>
      </w:rPr>
      <w:t>Ormiston Academies Trust</w:t>
    </w:r>
    <w:r w:rsidRPr="00E57988">
      <w:t xml:space="preserve"> – ICO Data Protection Audit Report – </w:t>
    </w:r>
    <w:r>
      <w:t>August</w:t>
    </w:r>
    <w:r w:rsidRPr="00E57988">
      <w:t xml:space="preserve"> 2019</w:t>
    </w:r>
    <w:r>
      <w:t xml:space="preserve">                                           Page </w:t>
    </w:r>
    <w:r w:rsidRPr="00763D52">
      <w:fldChar w:fldCharType="begin"/>
    </w:r>
    <w:r w:rsidRPr="00763D52">
      <w:instrText xml:space="preserve"> PAGE  \* Arabic  \* MERGEFORMAT </w:instrText>
    </w:r>
    <w:r w:rsidRPr="00763D52">
      <w:fldChar w:fldCharType="separate"/>
    </w:r>
    <w:r w:rsidR="00DC1E4D">
      <w:rPr>
        <w:noProof/>
      </w:rPr>
      <w:t>2</w:t>
    </w:r>
    <w:r w:rsidRPr="00763D52">
      <w:fldChar w:fldCharType="end"/>
    </w:r>
    <w:r>
      <w:t xml:space="preserve"> of </w:t>
    </w:r>
    <w:r>
      <w:rPr>
        <w:noProof/>
      </w:rPr>
      <w:fldChar w:fldCharType="begin"/>
    </w:r>
    <w:r>
      <w:rPr>
        <w:noProof/>
      </w:rPr>
      <w:instrText xml:space="preserve"> NUMPAGES  \* Arabic  \* MERGEFORMAT </w:instrText>
    </w:r>
    <w:r>
      <w:rPr>
        <w:noProof/>
      </w:rPr>
      <w:fldChar w:fldCharType="separate"/>
    </w:r>
    <w:r w:rsidR="00DC1E4D">
      <w:rPr>
        <w:noProof/>
      </w:rPr>
      <w:t>8</w:t>
    </w:r>
    <w:r>
      <w:rPr>
        <w:noProof/>
      </w:rPr>
      <w:fldChar w:fldCharType="end"/>
    </w:r>
  </w:p>
  <w:p w14:paraId="7F1CDD35" w14:textId="77777777" w:rsidR="000E31EA" w:rsidRDefault="000E31EA">
    <w:pPr>
      <w:pStyle w:val="Footer"/>
    </w:pPr>
  </w:p>
  <w:p w14:paraId="115F3BBC" w14:textId="77777777" w:rsidR="000E31EA" w:rsidRDefault="000E31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7EBDA" w14:textId="77777777" w:rsidR="000E31EA" w:rsidRDefault="000E31EA" w:rsidP="00D8445F">
      <w:pPr>
        <w:spacing w:after="0" w:line="240" w:lineRule="auto"/>
      </w:pPr>
      <w:r>
        <w:separator/>
      </w:r>
    </w:p>
  </w:footnote>
  <w:footnote w:type="continuationSeparator" w:id="0">
    <w:p w14:paraId="66F65C0E" w14:textId="77777777" w:rsidR="000E31EA" w:rsidRDefault="000E31EA" w:rsidP="00D84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3C43" w14:textId="77777777" w:rsidR="000E31EA" w:rsidRPr="003E6496" w:rsidRDefault="000E31EA" w:rsidP="003E6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99F8" w14:textId="77777777" w:rsidR="000E31EA" w:rsidRPr="003E6496" w:rsidRDefault="000E31EA" w:rsidP="003E6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27C2"/>
    <w:multiLevelType w:val="hybridMultilevel"/>
    <w:tmpl w:val="3BD25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E655EB"/>
    <w:multiLevelType w:val="hybridMultilevel"/>
    <w:tmpl w:val="AD5C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5F"/>
    <w:rsid w:val="0000042B"/>
    <w:rsid w:val="00010C74"/>
    <w:rsid w:val="000248CB"/>
    <w:rsid w:val="00031110"/>
    <w:rsid w:val="0005207D"/>
    <w:rsid w:val="00052789"/>
    <w:rsid w:val="00054F4A"/>
    <w:rsid w:val="00055A68"/>
    <w:rsid w:val="000561E3"/>
    <w:rsid w:val="000803EE"/>
    <w:rsid w:val="000819D7"/>
    <w:rsid w:val="00091C46"/>
    <w:rsid w:val="00095B81"/>
    <w:rsid w:val="000A0120"/>
    <w:rsid w:val="000B3D77"/>
    <w:rsid w:val="000B4C51"/>
    <w:rsid w:val="000B5E68"/>
    <w:rsid w:val="000D5E61"/>
    <w:rsid w:val="000E31EA"/>
    <w:rsid w:val="000E3E1B"/>
    <w:rsid w:val="000E64DF"/>
    <w:rsid w:val="000F2064"/>
    <w:rsid w:val="000F24DF"/>
    <w:rsid w:val="000F2527"/>
    <w:rsid w:val="00100CC6"/>
    <w:rsid w:val="0010484F"/>
    <w:rsid w:val="00121986"/>
    <w:rsid w:val="0012423A"/>
    <w:rsid w:val="00127D09"/>
    <w:rsid w:val="001309E4"/>
    <w:rsid w:val="00134BAC"/>
    <w:rsid w:val="001355BD"/>
    <w:rsid w:val="001458FB"/>
    <w:rsid w:val="001479CF"/>
    <w:rsid w:val="00163C62"/>
    <w:rsid w:val="00170481"/>
    <w:rsid w:val="00182021"/>
    <w:rsid w:val="001B33F0"/>
    <w:rsid w:val="001B4C1F"/>
    <w:rsid w:val="001B51E9"/>
    <w:rsid w:val="001D2415"/>
    <w:rsid w:val="001E08A3"/>
    <w:rsid w:val="001E2B1D"/>
    <w:rsid w:val="002006C1"/>
    <w:rsid w:val="002007AD"/>
    <w:rsid w:val="00201BCE"/>
    <w:rsid w:val="00203BBA"/>
    <w:rsid w:val="00204F3B"/>
    <w:rsid w:val="00220015"/>
    <w:rsid w:val="00244C23"/>
    <w:rsid w:val="00250A59"/>
    <w:rsid w:val="00251689"/>
    <w:rsid w:val="002639ED"/>
    <w:rsid w:val="00265F02"/>
    <w:rsid w:val="002672FA"/>
    <w:rsid w:val="00276BED"/>
    <w:rsid w:val="0028108B"/>
    <w:rsid w:val="00282D45"/>
    <w:rsid w:val="002C5955"/>
    <w:rsid w:val="002C601A"/>
    <w:rsid w:val="002D51FB"/>
    <w:rsid w:val="002D767C"/>
    <w:rsid w:val="002E22B3"/>
    <w:rsid w:val="002F265C"/>
    <w:rsid w:val="002F52BE"/>
    <w:rsid w:val="003132DD"/>
    <w:rsid w:val="00317D8F"/>
    <w:rsid w:val="0032057B"/>
    <w:rsid w:val="0033375B"/>
    <w:rsid w:val="00337DC9"/>
    <w:rsid w:val="00343F6F"/>
    <w:rsid w:val="00350BE9"/>
    <w:rsid w:val="00375AB3"/>
    <w:rsid w:val="00392BE6"/>
    <w:rsid w:val="00392C4C"/>
    <w:rsid w:val="00395578"/>
    <w:rsid w:val="00397C60"/>
    <w:rsid w:val="003A426E"/>
    <w:rsid w:val="003B403B"/>
    <w:rsid w:val="003B7938"/>
    <w:rsid w:val="003C43AB"/>
    <w:rsid w:val="003D1321"/>
    <w:rsid w:val="003D1DA2"/>
    <w:rsid w:val="003E16E5"/>
    <w:rsid w:val="003E2F19"/>
    <w:rsid w:val="003E6496"/>
    <w:rsid w:val="003F0F3E"/>
    <w:rsid w:val="004149DB"/>
    <w:rsid w:val="0043097C"/>
    <w:rsid w:val="00434085"/>
    <w:rsid w:val="004366D0"/>
    <w:rsid w:val="004403DB"/>
    <w:rsid w:val="0045180B"/>
    <w:rsid w:val="00461647"/>
    <w:rsid w:val="0046672A"/>
    <w:rsid w:val="004751EE"/>
    <w:rsid w:val="004A0D7B"/>
    <w:rsid w:val="004A7807"/>
    <w:rsid w:val="004B377C"/>
    <w:rsid w:val="004C4BF9"/>
    <w:rsid w:val="004E49BF"/>
    <w:rsid w:val="004F6F69"/>
    <w:rsid w:val="0050312C"/>
    <w:rsid w:val="00503257"/>
    <w:rsid w:val="00507A76"/>
    <w:rsid w:val="005106C8"/>
    <w:rsid w:val="00510F2F"/>
    <w:rsid w:val="005201B0"/>
    <w:rsid w:val="00535D1E"/>
    <w:rsid w:val="00562465"/>
    <w:rsid w:val="0056549D"/>
    <w:rsid w:val="005666DA"/>
    <w:rsid w:val="0056704F"/>
    <w:rsid w:val="0056788B"/>
    <w:rsid w:val="0057520E"/>
    <w:rsid w:val="005808DA"/>
    <w:rsid w:val="00580CF7"/>
    <w:rsid w:val="00581354"/>
    <w:rsid w:val="00583AAF"/>
    <w:rsid w:val="005B2D43"/>
    <w:rsid w:val="005B40BB"/>
    <w:rsid w:val="005C56DD"/>
    <w:rsid w:val="005D55DA"/>
    <w:rsid w:val="005E0307"/>
    <w:rsid w:val="005E4C10"/>
    <w:rsid w:val="00602BEA"/>
    <w:rsid w:val="006356E3"/>
    <w:rsid w:val="00636402"/>
    <w:rsid w:val="0066005D"/>
    <w:rsid w:val="00690E0D"/>
    <w:rsid w:val="00692DF3"/>
    <w:rsid w:val="00697F20"/>
    <w:rsid w:val="006B03C2"/>
    <w:rsid w:val="006B338B"/>
    <w:rsid w:val="006C2FC5"/>
    <w:rsid w:val="006C656A"/>
    <w:rsid w:val="006C78AB"/>
    <w:rsid w:val="006D2BCB"/>
    <w:rsid w:val="006D738E"/>
    <w:rsid w:val="006E1918"/>
    <w:rsid w:val="006E4687"/>
    <w:rsid w:val="006E4995"/>
    <w:rsid w:val="006F483F"/>
    <w:rsid w:val="007024D7"/>
    <w:rsid w:val="00705D55"/>
    <w:rsid w:val="0071418F"/>
    <w:rsid w:val="00724BD8"/>
    <w:rsid w:val="00732707"/>
    <w:rsid w:val="0074560A"/>
    <w:rsid w:val="00752C72"/>
    <w:rsid w:val="00756215"/>
    <w:rsid w:val="00757C46"/>
    <w:rsid w:val="0077019E"/>
    <w:rsid w:val="00784673"/>
    <w:rsid w:val="00787503"/>
    <w:rsid w:val="007878CF"/>
    <w:rsid w:val="007A0889"/>
    <w:rsid w:val="007A1246"/>
    <w:rsid w:val="007A1D9A"/>
    <w:rsid w:val="007A6532"/>
    <w:rsid w:val="007B2164"/>
    <w:rsid w:val="007B60A2"/>
    <w:rsid w:val="007C5342"/>
    <w:rsid w:val="007C5983"/>
    <w:rsid w:val="007C6E6E"/>
    <w:rsid w:val="007D2B65"/>
    <w:rsid w:val="007F0FD2"/>
    <w:rsid w:val="007F1AB4"/>
    <w:rsid w:val="0080170F"/>
    <w:rsid w:val="008174F6"/>
    <w:rsid w:val="00820514"/>
    <w:rsid w:val="00824B3D"/>
    <w:rsid w:val="008326CC"/>
    <w:rsid w:val="00835D21"/>
    <w:rsid w:val="00837C08"/>
    <w:rsid w:val="00842F7F"/>
    <w:rsid w:val="00845C11"/>
    <w:rsid w:val="00860CFE"/>
    <w:rsid w:val="008748D6"/>
    <w:rsid w:val="00880091"/>
    <w:rsid w:val="00882776"/>
    <w:rsid w:val="00891CE8"/>
    <w:rsid w:val="008973ED"/>
    <w:rsid w:val="008A1ADC"/>
    <w:rsid w:val="008A79FF"/>
    <w:rsid w:val="008B01E1"/>
    <w:rsid w:val="008B15B3"/>
    <w:rsid w:val="008C32E4"/>
    <w:rsid w:val="008D4838"/>
    <w:rsid w:val="008E520D"/>
    <w:rsid w:val="008E732B"/>
    <w:rsid w:val="008E7859"/>
    <w:rsid w:val="008F0FB0"/>
    <w:rsid w:val="008F40A9"/>
    <w:rsid w:val="008F56D2"/>
    <w:rsid w:val="008F64D3"/>
    <w:rsid w:val="0090239C"/>
    <w:rsid w:val="009048D3"/>
    <w:rsid w:val="0091192F"/>
    <w:rsid w:val="009266AB"/>
    <w:rsid w:val="00944C65"/>
    <w:rsid w:val="0095229A"/>
    <w:rsid w:val="00956BC7"/>
    <w:rsid w:val="00971732"/>
    <w:rsid w:val="00976768"/>
    <w:rsid w:val="0098584D"/>
    <w:rsid w:val="009A7854"/>
    <w:rsid w:val="009B0DB0"/>
    <w:rsid w:val="009B1885"/>
    <w:rsid w:val="009B7782"/>
    <w:rsid w:val="009F2CD3"/>
    <w:rsid w:val="00A069B1"/>
    <w:rsid w:val="00A07994"/>
    <w:rsid w:val="00A1485D"/>
    <w:rsid w:val="00A17F3C"/>
    <w:rsid w:val="00A3580D"/>
    <w:rsid w:val="00A364C7"/>
    <w:rsid w:val="00A5327F"/>
    <w:rsid w:val="00A53799"/>
    <w:rsid w:val="00A5521F"/>
    <w:rsid w:val="00A66231"/>
    <w:rsid w:val="00A7196B"/>
    <w:rsid w:val="00A73118"/>
    <w:rsid w:val="00A81CCA"/>
    <w:rsid w:val="00A87426"/>
    <w:rsid w:val="00A87FD9"/>
    <w:rsid w:val="00A97470"/>
    <w:rsid w:val="00AA1779"/>
    <w:rsid w:val="00AA285C"/>
    <w:rsid w:val="00AA5480"/>
    <w:rsid w:val="00AB0EB0"/>
    <w:rsid w:val="00AC14C7"/>
    <w:rsid w:val="00B00A62"/>
    <w:rsid w:val="00B050A4"/>
    <w:rsid w:val="00B06D6E"/>
    <w:rsid w:val="00B1162D"/>
    <w:rsid w:val="00B17196"/>
    <w:rsid w:val="00B22D6C"/>
    <w:rsid w:val="00B3076F"/>
    <w:rsid w:val="00B32174"/>
    <w:rsid w:val="00B463AC"/>
    <w:rsid w:val="00B476FD"/>
    <w:rsid w:val="00B62748"/>
    <w:rsid w:val="00B66E52"/>
    <w:rsid w:val="00B70761"/>
    <w:rsid w:val="00B74325"/>
    <w:rsid w:val="00B92B26"/>
    <w:rsid w:val="00BA692D"/>
    <w:rsid w:val="00BB145D"/>
    <w:rsid w:val="00BB15B4"/>
    <w:rsid w:val="00BB29D1"/>
    <w:rsid w:val="00BB34E3"/>
    <w:rsid w:val="00BB43D1"/>
    <w:rsid w:val="00BC080D"/>
    <w:rsid w:val="00BF7932"/>
    <w:rsid w:val="00C03343"/>
    <w:rsid w:val="00C073B4"/>
    <w:rsid w:val="00C119B4"/>
    <w:rsid w:val="00C17349"/>
    <w:rsid w:val="00C17658"/>
    <w:rsid w:val="00C20311"/>
    <w:rsid w:val="00C30020"/>
    <w:rsid w:val="00C30472"/>
    <w:rsid w:val="00C319E3"/>
    <w:rsid w:val="00C31EC6"/>
    <w:rsid w:val="00C34830"/>
    <w:rsid w:val="00C42B06"/>
    <w:rsid w:val="00C440A9"/>
    <w:rsid w:val="00C51626"/>
    <w:rsid w:val="00C54337"/>
    <w:rsid w:val="00C61BB4"/>
    <w:rsid w:val="00C61F54"/>
    <w:rsid w:val="00C62E95"/>
    <w:rsid w:val="00C64EE6"/>
    <w:rsid w:val="00C65D39"/>
    <w:rsid w:val="00C66E97"/>
    <w:rsid w:val="00C67763"/>
    <w:rsid w:val="00C76CC4"/>
    <w:rsid w:val="00C8274B"/>
    <w:rsid w:val="00C85C50"/>
    <w:rsid w:val="00C871C6"/>
    <w:rsid w:val="00C9047E"/>
    <w:rsid w:val="00CA574D"/>
    <w:rsid w:val="00CA622C"/>
    <w:rsid w:val="00CA72ED"/>
    <w:rsid w:val="00CB26D2"/>
    <w:rsid w:val="00CB368B"/>
    <w:rsid w:val="00CB76BA"/>
    <w:rsid w:val="00CC1328"/>
    <w:rsid w:val="00CC3E92"/>
    <w:rsid w:val="00CC44E9"/>
    <w:rsid w:val="00CE25C4"/>
    <w:rsid w:val="00CE5CA6"/>
    <w:rsid w:val="00D07F09"/>
    <w:rsid w:val="00D11FD5"/>
    <w:rsid w:val="00D1290B"/>
    <w:rsid w:val="00D16A12"/>
    <w:rsid w:val="00D247E9"/>
    <w:rsid w:val="00D25C2C"/>
    <w:rsid w:val="00D26D7D"/>
    <w:rsid w:val="00D271D9"/>
    <w:rsid w:val="00D2783F"/>
    <w:rsid w:val="00D331D2"/>
    <w:rsid w:val="00D34A43"/>
    <w:rsid w:val="00D35FCB"/>
    <w:rsid w:val="00D3798E"/>
    <w:rsid w:val="00D5444B"/>
    <w:rsid w:val="00D61005"/>
    <w:rsid w:val="00D671BF"/>
    <w:rsid w:val="00D747A4"/>
    <w:rsid w:val="00D8445F"/>
    <w:rsid w:val="00D84C85"/>
    <w:rsid w:val="00D94088"/>
    <w:rsid w:val="00DB290C"/>
    <w:rsid w:val="00DB3B85"/>
    <w:rsid w:val="00DB4E0F"/>
    <w:rsid w:val="00DC1E4D"/>
    <w:rsid w:val="00DE5D01"/>
    <w:rsid w:val="00E0158A"/>
    <w:rsid w:val="00E0403D"/>
    <w:rsid w:val="00E17DE7"/>
    <w:rsid w:val="00E25557"/>
    <w:rsid w:val="00E33302"/>
    <w:rsid w:val="00E41565"/>
    <w:rsid w:val="00E43D82"/>
    <w:rsid w:val="00E44A8D"/>
    <w:rsid w:val="00E57988"/>
    <w:rsid w:val="00E64457"/>
    <w:rsid w:val="00E673B9"/>
    <w:rsid w:val="00E759E5"/>
    <w:rsid w:val="00E8426A"/>
    <w:rsid w:val="00E92C48"/>
    <w:rsid w:val="00E968EE"/>
    <w:rsid w:val="00EA35BB"/>
    <w:rsid w:val="00EB2BC4"/>
    <w:rsid w:val="00EB70E7"/>
    <w:rsid w:val="00EC15FE"/>
    <w:rsid w:val="00EC3DE2"/>
    <w:rsid w:val="00EC43AC"/>
    <w:rsid w:val="00EE38EA"/>
    <w:rsid w:val="00EF60B4"/>
    <w:rsid w:val="00F059C3"/>
    <w:rsid w:val="00F15E15"/>
    <w:rsid w:val="00F3190F"/>
    <w:rsid w:val="00F611B8"/>
    <w:rsid w:val="00F706E0"/>
    <w:rsid w:val="00F708B9"/>
    <w:rsid w:val="00F751F0"/>
    <w:rsid w:val="00F75EB8"/>
    <w:rsid w:val="00F94175"/>
    <w:rsid w:val="00F97646"/>
    <w:rsid w:val="00FA4C42"/>
    <w:rsid w:val="00FA6B89"/>
    <w:rsid w:val="00FA7FCB"/>
    <w:rsid w:val="00FB06D0"/>
    <w:rsid w:val="00FC0779"/>
    <w:rsid w:val="00FC68C3"/>
    <w:rsid w:val="00FD48DE"/>
    <w:rsid w:val="00FE5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111F663"/>
  <w15:docId w15:val="{555405D2-F024-476F-985F-C5CC32A4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45F"/>
  </w:style>
  <w:style w:type="paragraph" w:styleId="Footer">
    <w:name w:val="footer"/>
    <w:basedOn w:val="Normal"/>
    <w:link w:val="FooterChar"/>
    <w:uiPriority w:val="99"/>
    <w:unhideWhenUsed/>
    <w:rsid w:val="00D84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45F"/>
  </w:style>
  <w:style w:type="paragraph" w:styleId="NoSpacing">
    <w:name w:val="No Spacing"/>
    <w:link w:val="NoSpacingChar"/>
    <w:uiPriority w:val="1"/>
    <w:qFormat/>
    <w:rsid w:val="00A73118"/>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A73118"/>
    <w:rPr>
      <w:rFonts w:asciiTheme="minorHAnsi" w:eastAsiaTheme="minorEastAsia" w:hAnsiTheme="minorHAnsi"/>
      <w:lang w:val="en-US"/>
    </w:rPr>
  </w:style>
  <w:style w:type="paragraph" w:styleId="BalloonText">
    <w:name w:val="Balloon Text"/>
    <w:basedOn w:val="Normal"/>
    <w:link w:val="BalloonTextChar"/>
    <w:uiPriority w:val="99"/>
    <w:semiHidden/>
    <w:unhideWhenUsed/>
    <w:rsid w:val="00A73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18"/>
    <w:rPr>
      <w:rFonts w:ascii="Tahoma" w:hAnsi="Tahoma" w:cs="Tahoma"/>
      <w:sz w:val="16"/>
      <w:szCs w:val="16"/>
    </w:rPr>
  </w:style>
  <w:style w:type="paragraph" w:styleId="ListParagraph">
    <w:name w:val="List Paragraph"/>
    <w:basedOn w:val="Normal"/>
    <w:uiPriority w:val="34"/>
    <w:qFormat/>
    <w:rsid w:val="00880091"/>
    <w:pPr>
      <w:ind w:left="720"/>
      <w:contextualSpacing/>
    </w:pPr>
  </w:style>
  <w:style w:type="table" w:styleId="TableGrid">
    <w:name w:val="Table Grid"/>
    <w:basedOn w:val="TableNormal"/>
    <w:uiPriority w:val="59"/>
    <w:rsid w:val="00880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08DA"/>
    <w:rPr>
      <w:sz w:val="16"/>
      <w:szCs w:val="16"/>
    </w:rPr>
  </w:style>
  <w:style w:type="paragraph" w:styleId="CommentText">
    <w:name w:val="annotation text"/>
    <w:basedOn w:val="Normal"/>
    <w:link w:val="CommentTextChar"/>
    <w:uiPriority w:val="99"/>
    <w:unhideWhenUsed/>
    <w:rsid w:val="005808DA"/>
    <w:pPr>
      <w:spacing w:line="240" w:lineRule="auto"/>
    </w:pPr>
    <w:rPr>
      <w:sz w:val="20"/>
      <w:szCs w:val="20"/>
    </w:rPr>
  </w:style>
  <w:style w:type="character" w:customStyle="1" w:styleId="CommentTextChar">
    <w:name w:val="Comment Text Char"/>
    <w:basedOn w:val="DefaultParagraphFont"/>
    <w:link w:val="CommentText"/>
    <w:uiPriority w:val="99"/>
    <w:rsid w:val="005808DA"/>
    <w:rPr>
      <w:sz w:val="20"/>
      <w:szCs w:val="20"/>
    </w:rPr>
  </w:style>
  <w:style w:type="paragraph" w:styleId="CommentSubject">
    <w:name w:val="annotation subject"/>
    <w:basedOn w:val="CommentText"/>
    <w:next w:val="CommentText"/>
    <w:link w:val="CommentSubjectChar"/>
    <w:uiPriority w:val="99"/>
    <w:semiHidden/>
    <w:unhideWhenUsed/>
    <w:rsid w:val="005808DA"/>
    <w:rPr>
      <w:b/>
      <w:bCs/>
    </w:rPr>
  </w:style>
  <w:style w:type="character" w:customStyle="1" w:styleId="CommentSubjectChar">
    <w:name w:val="Comment Subject Char"/>
    <w:basedOn w:val="CommentTextChar"/>
    <w:link w:val="CommentSubject"/>
    <w:uiPriority w:val="99"/>
    <w:semiHidden/>
    <w:rsid w:val="005808DA"/>
    <w:rPr>
      <w:b/>
      <w:bCs/>
      <w:sz w:val="20"/>
      <w:szCs w:val="20"/>
    </w:rPr>
  </w:style>
  <w:style w:type="table" w:customStyle="1" w:styleId="TableGrid1">
    <w:name w:val="Table Grid1"/>
    <w:basedOn w:val="TableNormal"/>
    <w:next w:val="TableGrid"/>
    <w:uiPriority w:val="59"/>
    <w:rsid w:val="0026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F3E"/>
    <w:rPr>
      <w:color w:val="0000FF" w:themeColor="hyperlink"/>
      <w:u w:val="single"/>
    </w:rPr>
  </w:style>
  <w:style w:type="character" w:styleId="FollowedHyperlink">
    <w:name w:val="FollowedHyperlink"/>
    <w:basedOn w:val="DefaultParagraphFont"/>
    <w:uiPriority w:val="99"/>
    <w:semiHidden/>
    <w:unhideWhenUsed/>
    <w:rsid w:val="00C11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4373">
      <w:bodyDiv w:val="1"/>
      <w:marLeft w:val="0"/>
      <w:marRight w:val="0"/>
      <w:marTop w:val="0"/>
      <w:marBottom w:val="0"/>
      <w:divBdr>
        <w:top w:val="none" w:sz="0" w:space="0" w:color="auto"/>
        <w:left w:val="none" w:sz="0" w:space="0" w:color="auto"/>
        <w:bottom w:val="none" w:sz="0" w:space="0" w:color="auto"/>
        <w:right w:val="none" w:sz="0" w:space="0" w:color="auto"/>
      </w:divBdr>
    </w:div>
    <w:div w:id="50887099">
      <w:bodyDiv w:val="1"/>
      <w:marLeft w:val="0"/>
      <w:marRight w:val="0"/>
      <w:marTop w:val="0"/>
      <w:marBottom w:val="0"/>
      <w:divBdr>
        <w:top w:val="none" w:sz="0" w:space="0" w:color="auto"/>
        <w:left w:val="none" w:sz="0" w:space="0" w:color="auto"/>
        <w:bottom w:val="none" w:sz="0" w:space="0" w:color="auto"/>
        <w:right w:val="none" w:sz="0" w:space="0" w:color="auto"/>
      </w:divBdr>
    </w:div>
    <w:div w:id="100733421">
      <w:bodyDiv w:val="1"/>
      <w:marLeft w:val="0"/>
      <w:marRight w:val="0"/>
      <w:marTop w:val="0"/>
      <w:marBottom w:val="0"/>
      <w:divBdr>
        <w:top w:val="none" w:sz="0" w:space="0" w:color="auto"/>
        <w:left w:val="none" w:sz="0" w:space="0" w:color="auto"/>
        <w:bottom w:val="none" w:sz="0" w:space="0" w:color="auto"/>
        <w:right w:val="none" w:sz="0" w:space="0" w:color="auto"/>
      </w:divBdr>
    </w:div>
    <w:div w:id="170031321">
      <w:bodyDiv w:val="1"/>
      <w:marLeft w:val="0"/>
      <w:marRight w:val="0"/>
      <w:marTop w:val="0"/>
      <w:marBottom w:val="0"/>
      <w:divBdr>
        <w:top w:val="none" w:sz="0" w:space="0" w:color="auto"/>
        <w:left w:val="none" w:sz="0" w:space="0" w:color="auto"/>
        <w:bottom w:val="none" w:sz="0" w:space="0" w:color="auto"/>
        <w:right w:val="none" w:sz="0" w:space="0" w:color="auto"/>
      </w:divBdr>
    </w:div>
    <w:div w:id="405105819">
      <w:bodyDiv w:val="1"/>
      <w:marLeft w:val="0"/>
      <w:marRight w:val="0"/>
      <w:marTop w:val="0"/>
      <w:marBottom w:val="0"/>
      <w:divBdr>
        <w:top w:val="none" w:sz="0" w:space="0" w:color="auto"/>
        <w:left w:val="none" w:sz="0" w:space="0" w:color="auto"/>
        <w:bottom w:val="none" w:sz="0" w:space="0" w:color="auto"/>
        <w:right w:val="none" w:sz="0" w:space="0" w:color="auto"/>
      </w:divBdr>
    </w:div>
    <w:div w:id="572669374">
      <w:bodyDiv w:val="1"/>
      <w:marLeft w:val="0"/>
      <w:marRight w:val="0"/>
      <w:marTop w:val="0"/>
      <w:marBottom w:val="0"/>
      <w:divBdr>
        <w:top w:val="none" w:sz="0" w:space="0" w:color="auto"/>
        <w:left w:val="none" w:sz="0" w:space="0" w:color="auto"/>
        <w:bottom w:val="none" w:sz="0" w:space="0" w:color="auto"/>
        <w:right w:val="none" w:sz="0" w:space="0" w:color="auto"/>
      </w:divBdr>
    </w:div>
    <w:div w:id="701243241">
      <w:bodyDiv w:val="1"/>
      <w:marLeft w:val="0"/>
      <w:marRight w:val="0"/>
      <w:marTop w:val="0"/>
      <w:marBottom w:val="0"/>
      <w:divBdr>
        <w:top w:val="none" w:sz="0" w:space="0" w:color="auto"/>
        <w:left w:val="none" w:sz="0" w:space="0" w:color="auto"/>
        <w:bottom w:val="none" w:sz="0" w:space="0" w:color="auto"/>
        <w:right w:val="none" w:sz="0" w:space="0" w:color="auto"/>
      </w:divBdr>
    </w:div>
    <w:div w:id="716200296">
      <w:bodyDiv w:val="1"/>
      <w:marLeft w:val="0"/>
      <w:marRight w:val="0"/>
      <w:marTop w:val="0"/>
      <w:marBottom w:val="0"/>
      <w:divBdr>
        <w:top w:val="none" w:sz="0" w:space="0" w:color="auto"/>
        <w:left w:val="none" w:sz="0" w:space="0" w:color="auto"/>
        <w:bottom w:val="none" w:sz="0" w:space="0" w:color="auto"/>
        <w:right w:val="none" w:sz="0" w:space="0" w:color="auto"/>
      </w:divBdr>
    </w:div>
    <w:div w:id="731461011">
      <w:bodyDiv w:val="1"/>
      <w:marLeft w:val="0"/>
      <w:marRight w:val="0"/>
      <w:marTop w:val="0"/>
      <w:marBottom w:val="0"/>
      <w:divBdr>
        <w:top w:val="none" w:sz="0" w:space="0" w:color="auto"/>
        <w:left w:val="none" w:sz="0" w:space="0" w:color="auto"/>
        <w:bottom w:val="none" w:sz="0" w:space="0" w:color="auto"/>
        <w:right w:val="none" w:sz="0" w:space="0" w:color="auto"/>
      </w:divBdr>
    </w:div>
    <w:div w:id="751001246">
      <w:bodyDiv w:val="1"/>
      <w:marLeft w:val="0"/>
      <w:marRight w:val="0"/>
      <w:marTop w:val="0"/>
      <w:marBottom w:val="0"/>
      <w:divBdr>
        <w:top w:val="none" w:sz="0" w:space="0" w:color="auto"/>
        <w:left w:val="none" w:sz="0" w:space="0" w:color="auto"/>
        <w:bottom w:val="none" w:sz="0" w:space="0" w:color="auto"/>
        <w:right w:val="none" w:sz="0" w:space="0" w:color="auto"/>
      </w:divBdr>
    </w:div>
    <w:div w:id="805969223">
      <w:bodyDiv w:val="1"/>
      <w:marLeft w:val="0"/>
      <w:marRight w:val="0"/>
      <w:marTop w:val="0"/>
      <w:marBottom w:val="0"/>
      <w:divBdr>
        <w:top w:val="none" w:sz="0" w:space="0" w:color="auto"/>
        <w:left w:val="none" w:sz="0" w:space="0" w:color="auto"/>
        <w:bottom w:val="none" w:sz="0" w:space="0" w:color="auto"/>
        <w:right w:val="none" w:sz="0" w:space="0" w:color="auto"/>
      </w:divBdr>
    </w:div>
    <w:div w:id="829979721">
      <w:bodyDiv w:val="1"/>
      <w:marLeft w:val="0"/>
      <w:marRight w:val="0"/>
      <w:marTop w:val="0"/>
      <w:marBottom w:val="0"/>
      <w:divBdr>
        <w:top w:val="none" w:sz="0" w:space="0" w:color="auto"/>
        <w:left w:val="none" w:sz="0" w:space="0" w:color="auto"/>
        <w:bottom w:val="none" w:sz="0" w:space="0" w:color="auto"/>
        <w:right w:val="none" w:sz="0" w:space="0" w:color="auto"/>
      </w:divBdr>
    </w:div>
    <w:div w:id="862092058">
      <w:bodyDiv w:val="1"/>
      <w:marLeft w:val="0"/>
      <w:marRight w:val="0"/>
      <w:marTop w:val="0"/>
      <w:marBottom w:val="0"/>
      <w:divBdr>
        <w:top w:val="none" w:sz="0" w:space="0" w:color="auto"/>
        <w:left w:val="none" w:sz="0" w:space="0" w:color="auto"/>
        <w:bottom w:val="none" w:sz="0" w:space="0" w:color="auto"/>
        <w:right w:val="none" w:sz="0" w:space="0" w:color="auto"/>
      </w:divBdr>
    </w:div>
    <w:div w:id="867335080">
      <w:bodyDiv w:val="1"/>
      <w:marLeft w:val="0"/>
      <w:marRight w:val="0"/>
      <w:marTop w:val="0"/>
      <w:marBottom w:val="0"/>
      <w:divBdr>
        <w:top w:val="none" w:sz="0" w:space="0" w:color="auto"/>
        <w:left w:val="none" w:sz="0" w:space="0" w:color="auto"/>
        <w:bottom w:val="none" w:sz="0" w:space="0" w:color="auto"/>
        <w:right w:val="none" w:sz="0" w:space="0" w:color="auto"/>
      </w:divBdr>
    </w:div>
    <w:div w:id="871963039">
      <w:bodyDiv w:val="1"/>
      <w:marLeft w:val="0"/>
      <w:marRight w:val="0"/>
      <w:marTop w:val="0"/>
      <w:marBottom w:val="0"/>
      <w:divBdr>
        <w:top w:val="none" w:sz="0" w:space="0" w:color="auto"/>
        <w:left w:val="none" w:sz="0" w:space="0" w:color="auto"/>
        <w:bottom w:val="none" w:sz="0" w:space="0" w:color="auto"/>
        <w:right w:val="none" w:sz="0" w:space="0" w:color="auto"/>
      </w:divBdr>
    </w:div>
    <w:div w:id="888608820">
      <w:bodyDiv w:val="1"/>
      <w:marLeft w:val="0"/>
      <w:marRight w:val="0"/>
      <w:marTop w:val="0"/>
      <w:marBottom w:val="0"/>
      <w:divBdr>
        <w:top w:val="none" w:sz="0" w:space="0" w:color="auto"/>
        <w:left w:val="none" w:sz="0" w:space="0" w:color="auto"/>
        <w:bottom w:val="none" w:sz="0" w:space="0" w:color="auto"/>
        <w:right w:val="none" w:sz="0" w:space="0" w:color="auto"/>
      </w:divBdr>
    </w:div>
    <w:div w:id="1109860406">
      <w:bodyDiv w:val="1"/>
      <w:marLeft w:val="0"/>
      <w:marRight w:val="0"/>
      <w:marTop w:val="0"/>
      <w:marBottom w:val="0"/>
      <w:divBdr>
        <w:top w:val="none" w:sz="0" w:space="0" w:color="auto"/>
        <w:left w:val="none" w:sz="0" w:space="0" w:color="auto"/>
        <w:bottom w:val="none" w:sz="0" w:space="0" w:color="auto"/>
        <w:right w:val="none" w:sz="0" w:space="0" w:color="auto"/>
      </w:divBdr>
    </w:div>
    <w:div w:id="1166434513">
      <w:bodyDiv w:val="1"/>
      <w:marLeft w:val="0"/>
      <w:marRight w:val="0"/>
      <w:marTop w:val="0"/>
      <w:marBottom w:val="0"/>
      <w:divBdr>
        <w:top w:val="none" w:sz="0" w:space="0" w:color="auto"/>
        <w:left w:val="none" w:sz="0" w:space="0" w:color="auto"/>
        <w:bottom w:val="none" w:sz="0" w:space="0" w:color="auto"/>
        <w:right w:val="none" w:sz="0" w:space="0" w:color="auto"/>
      </w:divBdr>
    </w:div>
    <w:div w:id="1291980711">
      <w:bodyDiv w:val="1"/>
      <w:marLeft w:val="0"/>
      <w:marRight w:val="0"/>
      <w:marTop w:val="0"/>
      <w:marBottom w:val="0"/>
      <w:divBdr>
        <w:top w:val="none" w:sz="0" w:space="0" w:color="auto"/>
        <w:left w:val="none" w:sz="0" w:space="0" w:color="auto"/>
        <w:bottom w:val="none" w:sz="0" w:space="0" w:color="auto"/>
        <w:right w:val="none" w:sz="0" w:space="0" w:color="auto"/>
      </w:divBdr>
    </w:div>
    <w:div w:id="1454013036">
      <w:bodyDiv w:val="1"/>
      <w:marLeft w:val="0"/>
      <w:marRight w:val="0"/>
      <w:marTop w:val="0"/>
      <w:marBottom w:val="0"/>
      <w:divBdr>
        <w:top w:val="none" w:sz="0" w:space="0" w:color="auto"/>
        <w:left w:val="none" w:sz="0" w:space="0" w:color="auto"/>
        <w:bottom w:val="none" w:sz="0" w:space="0" w:color="auto"/>
        <w:right w:val="none" w:sz="0" w:space="0" w:color="auto"/>
      </w:divBdr>
    </w:div>
    <w:div w:id="1582447351">
      <w:bodyDiv w:val="1"/>
      <w:marLeft w:val="0"/>
      <w:marRight w:val="0"/>
      <w:marTop w:val="0"/>
      <w:marBottom w:val="0"/>
      <w:divBdr>
        <w:top w:val="none" w:sz="0" w:space="0" w:color="auto"/>
        <w:left w:val="none" w:sz="0" w:space="0" w:color="auto"/>
        <w:bottom w:val="none" w:sz="0" w:space="0" w:color="auto"/>
        <w:right w:val="none" w:sz="0" w:space="0" w:color="auto"/>
      </w:divBdr>
    </w:div>
    <w:div w:id="1596867634">
      <w:bodyDiv w:val="1"/>
      <w:marLeft w:val="0"/>
      <w:marRight w:val="0"/>
      <w:marTop w:val="0"/>
      <w:marBottom w:val="0"/>
      <w:divBdr>
        <w:top w:val="none" w:sz="0" w:space="0" w:color="auto"/>
        <w:left w:val="none" w:sz="0" w:space="0" w:color="auto"/>
        <w:bottom w:val="none" w:sz="0" w:space="0" w:color="auto"/>
        <w:right w:val="none" w:sz="0" w:space="0" w:color="auto"/>
      </w:divBdr>
    </w:div>
    <w:div w:id="1748845826">
      <w:bodyDiv w:val="1"/>
      <w:marLeft w:val="0"/>
      <w:marRight w:val="0"/>
      <w:marTop w:val="0"/>
      <w:marBottom w:val="0"/>
      <w:divBdr>
        <w:top w:val="none" w:sz="0" w:space="0" w:color="auto"/>
        <w:left w:val="none" w:sz="0" w:space="0" w:color="auto"/>
        <w:bottom w:val="none" w:sz="0" w:space="0" w:color="auto"/>
        <w:right w:val="none" w:sz="0" w:space="0" w:color="auto"/>
      </w:divBdr>
    </w:div>
    <w:div w:id="1823037195">
      <w:bodyDiv w:val="1"/>
      <w:marLeft w:val="0"/>
      <w:marRight w:val="0"/>
      <w:marTop w:val="0"/>
      <w:marBottom w:val="0"/>
      <w:divBdr>
        <w:top w:val="none" w:sz="0" w:space="0" w:color="auto"/>
        <w:left w:val="none" w:sz="0" w:space="0" w:color="auto"/>
        <w:bottom w:val="none" w:sz="0" w:space="0" w:color="auto"/>
        <w:right w:val="none" w:sz="0" w:space="0" w:color="auto"/>
      </w:divBdr>
    </w:div>
    <w:div w:id="2003196032">
      <w:bodyDiv w:val="1"/>
      <w:marLeft w:val="0"/>
      <w:marRight w:val="0"/>
      <w:marTop w:val="0"/>
      <w:marBottom w:val="0"/>
      <w:divBdr>
        <w:top w:val="none" w:sz="0" w:space="0" w:color="auto"/>
        <w:left w:val="none" w:sz="0" w:space="0" w:color="auto"/>
        <w:bottom w:val="none" w:sz="0" w:space="0" w:color="auto"/>
        <w:right w:val="none" w:sz="0" w:space="0" w:color="auto"/>
      </w:divBdr>
    </w:div>
    <w:div w:id="2081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Verdana" panose="020B0604030504040204" pitchFamily="34" charset="0"/>
                <a:cs typeface="Verdana" panose="020B0604030504040204" pitchFamily="34" charset="0"/>
              </a:defRPr>
            </a:pPr>
            <a:r>
              <a:rPr lang="en-GB" sz="1400" b="1">
                <a:latin typeface="+mn-lt"/>
                <a:ea typeface="Verdana" panose="020B0604030504040204" pitchFamily="34" charset="0"/>
                <a:cs typeface="Verdana" panose="020B0604030504040204" pitchFamily="34" charset="0"/>
              </a:rPr>
              <a:t>All scope areas</a:t>
            </a:r>
          </a:p>
          <a:p>
            <a:pPr>
              <a:defRPr>
                <a:ea typeface="Verdana" panose="020B0604030504040204" pitchFamily="34" charset="0"/>
                <a:cs typeface="Verdana" panose="020B0604030504040204" pitchFamily="34" charset="0"/>
              </a:defRPr>
            </a:pPr>
            <a:r>
              <a:rPr lang="en-GB" sz="1400" b="1">
                <a:latin typeface="+mn-lt"/>
                <a:ea typeface="Verdana" panose="020B0604030504040204" pitchFamily="34" charset="0"/>
                <a:cs typeface="Verdana" panose="020B0604030504040204" pitchFamily="34" charset="0"/>
              </a:rPr>
              <a:t>Breakdown of priority of recommendations</a:t>
            </a:r>
          </a:p>
        </c:rich>
      </c:tx>
      <c:layout>
        <c:manualLayout>
          <c:xMode val="edge"/>
          <c:yMode val="edge"/>
          <c:x val="0.14084485068737035"/>
          <c:y val="2.28245329582361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Verdana" panose="020B0604030504040204" pitchFamily="34" charset="0"/>
              <a:cs typeface="Verdana" panose="020B0604030504040204" pitchFamily="34" charset="0"/>
            </a:defRPr>
          </a:pPr>
          <a:endParaRPr lang="en-US"/>
        </a:p>
      </c:txPr>
    </c:title>
    <c:autoTitleDeleted val="0"/>
    <c:plotArea>
      <c:layout/>
      <c:barChart>
        <c:barDir val="col"/>
        <c:grouping val="stacked"/>
        <c:varyColors val="0"/>
        <c:ser>
          <c:idx val="0"/>
          <c:order val="0"/>
          <c:tx>
            <c:strRef>
              <c:f>'Graphs calc'!$B$26</c:f>
              <c:strCache>
                <c:ptCount val="1"/>
                <c:pt idx="0">
                  <c:v>Urgent</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calc'!$A$27:$A$29</c:f>
              <c:strCache>
                <c:ptCount val="3"/>
                <c:pt idx="0">
                  <c:v>Governance &amp; Accountability</c:v>
                </c:pt>
                <c:pt idx="1">
                  <c:v>Training and Awareness</c:v>
                </c:pt>
                <c:pt idx="2">
                  <c:v>Data Sharing</c:v>
                </c:pt>
              </c:strCache>
            </c:strRef>
          </c:cat>
          <c:val>
            <c:numRef>
              <c:f>'Graphs calc'!$B$27:$B$29</c:f>
              <c:numCache>
                <c:formatCode>General</c:formatCode>
                <c:ptCount val="3"/>
                <c:pt idx="0">
                  <c:v>1</c:v>
                </c:pt>
                <c:pt idx="1">
                  <c:v>5</c:v>
                </c:pt>
                <c:pt idx="2">
                  <c:v>6</c:v>
                </c:pt>
              </c:numCache>
            </c:numRef>
          </c:val>
        </c:ser>
        <c:ser>
          <c:idx val="1"/>
          <c:order val="1"/>
          <c:tx>
            <c:strRef>
              <c:f>'Graphs calc'!$C$26</c:f>
              <c:strCache>
                <c:ptCount val="1"/>
                <c:pt idx="0">
                  <c:v>High</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calc'!$A$27:$A$29</c:f>
              <c:strCache>
                <c:ptCount val="3"/>
                <c:pt idx="0">
                  <c:v>Governance &amp; Accountability</c:v>
                </c:pt>
                <c:pt idx="1">
                  <c:v>Training and Awareness</c:v>
                </c:pt>
                <c:pt idx="2">
                  <c:v>Data Sharing</c:v>
                </c:pt>
              </c:strCache>
            </c:strRef>
          </c:cat>
          <c:val>
            <c:numRef>
              <c:f>'Graphs calc'!$C$27:$C$29</c:f>
              <c:numCache>
                <c:formatCode>General</c:formatCode>
                <c:ptCount val="3"/>
                <c:pt idx="0">
                  <c:v>14</c:v>
                </c:pt>
                <c:pt idx="1">
                  <c:v>12</c:v>
                </c:pt>
                <c:pt idx="2">
                  <c:v>12</c:v>
                </c:pt>
              </c:numCache>
            </c:numRef>
          </c:val>
        </c:ser>
        <c:ser>
          <c:idx val="2"/>
          <c:order val="2"/>
          <c:tx>
            <c:strRef>
              <c:f>'Graphs calc'!$D$26</c:f>
              <c:strCache>
                <c:ptCount val="1"/>
                <c:pt idx="0">
                  <c:v>Medium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calc'!$A$27:$A$29</c:f>
              <c:strCache>
                <c:ptCount val="3"/>
                <c:pt idx="0">
                  <c:v>Governance &amp; Accountability</c:v>
                </c:pt>
                <c:pt idx="1">
                  <c:v>Training and Awareness</c:v>
                </c:pt>
                <c:pt idx="2">
                  <c:v>Data Sharing</c:v>
                </c:pt>
              </c:strCache>
            </c:strRef>
          </c:cat>
          <c:val>
            <c:numRef>
              <c:f>'Graphs calc'!$D$27:$D$29</c:f>
              <c:numCache>
                <c:formatCode>General</c:formatCode>
                <c:ptCount val="3"/>
                <c:pt idx="0">
                  <c:v>12</c:v>
                </c:pt>
                <c:pt idx="1">
                  <c:v>8</c:v>
                </c:pt>
                <c:pt idx="2">
                  <c:v>5</c:v>
                </c:pt>
              </c:numCache>
            </c:numRef>
          </c:val>
        </c:ser>
        <c:ser>
          <c:idx val="3"/>
          <c:order val="3"/>
          <c:tx>
            <c:strRef>
              <c:f>'Graphs calc'!$E$26</c:f>
              <c:strCache>
                <c:ptCount val="1"/>
                <c:pt idx="0">
                  <c:v>Low</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calc'!$A$27:$A$29</c:f>
              <c:strCache>
                <c:ptCount val="3"/>
                <c:pt idx="0">
                  <c:v>Governance &amp; Accountability</c:v>
                </c:pt>
                <c:pt idx="1">
                  <c:v>Training and Awareness</c:v>
                </c:pt>
                <c:pt idx="2">
                  <c:v>Data Sharing</c:v>
                </c:pt>
              </c:strCache>
            </c:strRef>
          </c:cat>
          <c:val>
            <c:numRef>
              <c:f>'Graphs calc'!$E$27:$E$29</c:f>
              <c:numCache>
                <c:formatCode>General</c:formatCode>
                <c:ptCount val="3"/>
                <c:pt idx="0">
                  <c:v>1</c:v>
                </c:pt>
                <c:pt idx="1">
                  <c:v>0</c:v>
                </c:pt>
                <c:pt idx="2">
                  <c:v>0</c:v>
                </c:pt>
              </c:numCache>
            </c:numRef>
          </c:val>
        </c:ser>
        <c:dLbls>
          <c:dLblPos val="ctr"/>
          <c:showLegendKey val="0"/>
          <c:showVal val="1"/>
          <c:showCatName val="0"/>
          <c:showSerName val="0"/>
          <c:showPercent val="0"/>
          <c:showBubbleSize val="0"/>
        </c:dLbls>
        <c:gapWidth val="150"/>
        <c:overlap val="100"/>
        <c:axId val="251726808"/>
        <c:axId val="251727200"/>
      </c:barChart>
      <c:catAx>
        <c:axId val="25172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51727200"/>
        <c:crosses val="autoZero"/>
        <c:auto val="1"/>
        <c:lblAlgn val="ctr"/>
        <c:lblOffset val="100"/>
        <c:noMultiLvlLbl val="0"/>
      </c:catAx>
      <c:valAx>
        <c:axId val="25172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726808"/>
        <c:crosses val="autoZero"/>
        <c:crossBetween val="between"/>
      </c:valAx>
      <c:spPr>
        <a:noFill/>
        <a:ln>
          <a:noFill/>
        </a:ln>
        <a:effectLst/>
      </c:spPr>
    </c:plotArea>
    <c:legend>
      <c:legendPos val="r"/>
      <c:layout>
        <c:manualLayout>
          <c:xMode val="edge"/>
          <c:yMode val="edge"/>
          <c:x val="0.81054897858047459"/>
          <c:y val="0.3693752278334696"/>
          <c:w val="0.17225428115191893"/>
          <c:h val="0.5085150185127331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6495cd43-30b7-45da-972d-05dc6321e6bd">Official</Security_x0020_classification>
    <_dlc_DocId xmlns="6495cd43-30b7-45da-972d-05dc6321e6bd">REGUL-1781701093-331</_dlc_DocId>
    <_dlc_DocIdUrl xmlns="6495cd43-30b7-45da-972d-05dc6321e6bd">
      <Url>https://edrm/sites/reg/assur/Aud1920/_layouts/15/DocIdRedir.aspx?ID=REGUL-1781701093-331</Url>
      <Description>REGUL-1781701093-331</Description>
    </_dlc_DocIdUrl>
    <DLCPolicyLabelClientValue xmlns="6495cd43-30b7-45da-972d-05dc6321e6bd" xsi:nil="true"/>
    <DLCPolicyLabelLock xmlns="6495cd43-30b7-45da-972d-05dc6321e6bd" xsi:nil="true"/>
    <Document_x0020_date_time xmlns="6495cd43-30b7-45da-972d-05dc6321e6bd">2019-08-16T15:30:00+00:00</Document_x0020_date_time>
    <TaxCatchAll xmlns="6495cd43-30b7-45da-972d-05dc6321e6bd"/>
    <Audit_document_x0020_category xmlns="6495cd43-30b7-45da-972d-05dc6321e6bd">Final executive summary</Audit_document_x0020_category>
    <Follow_x0020_up_x0020_report_x0020_issued xmlns="6495cd43-30b7-45da-972d-05dc6321e6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udit 6 years" ma:contentTypeID="0x01010020270C6529EA0544B2EFE190A98965FD0053BE9DE259BE224D9A2842EE7AE19FE8001334DC03FD7B9242876E187C7EE2C37F" ma:contentTypeVersion="303" ma:contentTypeDescription="" ma:contentTypeScope="" ma:versionID="d3f294a0d0d5bfeceb13304cbf8dbff9">
  <xsd:schema xmlns:xsd="http://www.w3.org/2001/XMLSchema" xmlns:xs="http://www.w3.org/2001/XMLSchema" xmlns:p="http://schemas.microsoft.com/office/2006/metadata/properties" xmlns:ns2="6495cd43-30b7-45da-972d-05dc6321e6bd" targetNamespace="http://schemas.microsoft.com/office/2006/metadata/properties" ma:root="true" ma:fieldsID="c95b4563b38868528de5f611cb45f666" ns2:_="">
    <xsd:import namespace="6495cd43-30b7-45da-972d-05dc6321e6bd"/>
    <xsd:element name="properties">
      <xsd:complexType>
        <xsd:sequence>
          <xsd:element name="documentManagement">
            <xsd:complexType>
              <xsd:all>
                <xsd:element ref="ns2:Document_x0020_date_time"/>
                <xsd:element ref="ns2:Audit_document_x0020_category"/>
                <xsd:element ref="ns2:Follow_x0020_up_x0020_report_x0020_issued" minOccurs="0"/>
                <xsd:element ref="ns2:Security_x0020_classification"/>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Document_x0020_date_time" ma:index="2" ma:displayName="Document date_time" ma:format="DateTime" ma:internalName="Document_x0020_date_time" ma:readOnly="false">
      <xsd:simpleType>
        <xsd:restriction base="dms:DateTime"/>
      </xsd:simpleType>
    </xsd:element>
    <xsd:element name="Audit_document_x0020_category" ma:index="3" ma:displayName="Audit_document category" ma:format="Dropdown" ma:internalName="Audit_document_x0020_category" ma:readOnly="false">
      <xsd:simpleType>
        <xsd:restriction base="dms:Choice">
          <xsd:enumeration value="Audit planning document"/>
          <xsd:enumeration value="Correspondence - external"/>
          <xsd:enumeration value="Correspondence - internal"/>
          <xsd:enumeration value="Draft audit reports and action plan"/>
          <xsd:enumeration value="Evidence - DS"/>
          <xsd:enumeration value="Evidence - FOI"/>
          <xsd:enumeration value="Evidence - general"/>
          <xsd:enumeration value="Evidence - GOV"/>
          <xsd:enumeration value="Evidence - IR"/>
          <xsd:enumeration value="Evidence - IRM"/>
          <xsd:enumeration value="Evidence - RM"/>
          <xsd:enumeration value="Evidence - SAR"/>
          <xsd:enumeration value="Evidence - SEC"/>
          <xsd:enumeration value="Evidence - TRA"/>
          <xsd:enumeration value="Evidence - uncategorised"/>
          <xsd:enumeration value="Final action plan"/>
          <xsd:enumeration value="Final audit report"/>
          <xsd:enumeration value="Final executive summary"/>
          <xsd:enumeration value="Signed LoE"/>
          <xsd:enumeration value="Travel"/>
          <xsd:enumeration value="Working paper"/>
        </xsd:restriction>
      </xsd:simpleType>
    </xsd:element>
    <xsd:element name="Follow_x0020_up_x0020_report_x0020_issued" ma:index="4" nillable="true" ma:displayName="Follow up report issued" ma:format="DateOnly" ma:internalName="Follow_x0020_up_x0020_report_x0020_issued">
      <xsd:simpleType>
        <xsd:restriction base="dms:DateTime"/>
      </xsd:simpleType>
    </xsd:element>
    <xsd:element name="Security_x0020_classification" ma:index="5"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TaxCatchAll" ma:index="8"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element name="_dlc_DocId" ma:index="19"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fc18c49-0394-481a-ba4a-a4ceacd0e392" ContentTypeId="0x01010020270C6529EA0544B2EFE190A98965FD0053BE9DE259BE224D9A2842EE7AE19FE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20AA-0469-49E1-A36B-B22BF70CD920}">
  <ds:schemaRefs>
    <ds:schemaRef ds:uri="http://purl.org/dc/dcmitype/"/>
    <ds:schemaRef ds:uri="http://www.w3.org/XML/1998/namespace"/>
    <ds:schemaRef ds:uri="6495cd43-30b7-45da-972d-05dc6321e6bd"/>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CC28DAB5-9D0D-4F26-AFB5-C0F8F5437D39}">
  <ds:schemaRefs>
    <ds:schemaRef ds:uri="http://schemas.microsoft.com/sharepoint/v3/contenttype/forms"/>
  </ds:schemaRefs>
</ds:datastoreItem>
</file>

<file path=customXml/itemProps3.xml><?xml version="1.0" encoding="utf-8"?>
<ds:datastoreItem xmlns:ds="http://schemas.openxmlformats.org/officeDocument/2006/customXml" ds:itemID="{DA500AA6-B8EE-4835-8219-9DEC49250CF6}">
  <ds:schemaRefs>
    <ds:schemaRef ds:uri="http://schemas.microsoft.com/sharepoint/events"/>
  </ds:schemaRefs>
</ds:datastoreItem>
</file>

<file path=customXml/itemProps4.xml><?xml version="1.0" encoding="utf-8"?>
<ds:datastoreItem xmlns:ds="http://schemas.openxmlformats.org/officeDocument/2006/customXml" ds:itemID="{B0CD5BA7-6A67-4D41-BB67-73A4BC28B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2967BA-C48B-4E1C-B9A7-89249C0B8957}">
  <ds:schemaRefs>
    <ds:schemaRef ds:uri="Microsoft.SharePoint.Taxonomy.ContentTypeSync"/>
  </ds:schemaRefs>
</ds:datastoreItem>
</file>

<file path=customXml/itemProps6.xml><?xml version="1.0" encoding="utf-8"?>
<ds:datastoreItem xmlns:ds="http://schemas.openxmlformats.org/officeDocument/2006/customXml" ds:itemID="{06F3B734-2D66-4629-9F3B-35E79403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237982E2</Template>
  <TotalTime>0</TotalTime>
  <Pages>8</Pages>
  <Words>1246</Words>
  <Characters>7108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Ormiston Academies Trust - Audit Executive Summary v1.0</vt:lpstr>
    </vt:vector>
  </TitlesOfParts>
  <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Ormiston Academies Trust - Audit Executive Summary v1.0</dc:title>
  <dc:subject>Data protection audit report</dc:subject>
  <dc:creator>Jonathan Covell</dc:creator>
  <cp:lastModifiedBy>Robert Lee</cp:lastModifiedBy>
  <cp:revision>2</cp:revision>
  <cp:lastPrinted>2019-08-16T14:38:00Z</cp:lastPrinted>
  <dcterms:created xsi:type="dcterms:W3CDTF">2019-08-30T15:24:00Z</dcterms:created>
  <dcterms:modified xsi:type="dcterms:W3CDTF">2019-08-30T15:24:00Z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0x01010020270C6529EA0544B2EFE190A98965FD0053BE9DE259BE224D9A2842EE7AE19FE8001334DC03FD7B9242876E187C7EE2C37F</vt:lpwstr>
  </property>
  <property fmtid="{D5CDD505-2E9C-101B-9397-08002B2CF9AE}" pid="3" name="_dlc_DocIdItemGuid">
    <vt:lpwstr>0fdc1fc9-e1c0-4177-883e-3db0b74b93aa</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ocset_NoMedatataSyncRequired">
    <vt:lpwstr>False</vt:lpwstr>
  </property>
  <property fmtid="{D5CDD505-2E9C-101B-9397-08002B2CF9AE}" pid="8" name="SharedWithUsers">
    <vt:lpwstr>71;#Simon Lochery;#565;#Mandy Enfield</vt:lpwstr>
  </property>
</Properties>
</file>