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035FE" w14:textId="77777777" w:rsidR="0010484F" w:rsidRDefault="00A53799" w:rsidP="00A73118">
      <w:pPr>
        <w:spacing w:after="0" w:line="240" w:lineRule="auto"/>
        <w:rPr>
          <w:rFonts w:ascii="Georgia" w:eastAsia="Times New Roman" w:hAnsi="Georgia" w:cs="Arial"/>
          <w:bCs/>
          <w:color w:val="003768"/>
          <w:sz w:val="56"/>
          <w:szCs w:val="56"/>
          <w:lang w:eastAsia="en-GB"/>
        </w:rPr>
      </w:pPr>
      <w:r w:rsidRPr="0010484F">
        <w:rPr>
          <w:rFonts w:ascii="Georgia" w:eastAsia="Times New Roman" w:hAnsi="Georgia" w:cs="Arial"/>
          <w:bCs/>
          <w:noProof/>
          <w:color w:val="003768"/>
          <w:sz w:val="56"/>
          <w:szCs w:val="56"/>
          <w:lang w:eastAsia="en-GB"/>
        </w:rPr>
        <mc:AlternateContent>
          <mc:Choice Requires="wps">
            <w:drawing>
              <wp:anchor distT="0" distB="0" distL="114300" distR="114300" simplePos="0" relativeHeight="251657728" behindDoc="0" locked="0" layoutInCell="1" allowOverlap="1" wp14:anchorId="39AAFB51" wp14:editId="6F78213F">
                <wp:simplePos x="0" y="0"/>
                <wp:positionH relativeFrom="column">
                  <wp:posOffset>-152400</wp:posOffset>
                </wp:positionH>
                <wp:positionV relativeFrom="paragraph">
                  <wp:posOffset>328105</wp:posOffset>
                </wp:positionV>
                <wp:extent cx="8808720" cy="2674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8720" cy="2674620"/>
                        </a:xfrm>
                        <a:prstGeom prst="rect">
                          <a:avLst/>
                        </a:prstGeom>
                        <a:noFill/>
                        <a:ln w="9525">
                          <a:noFill/>
                          <a:miter lim="800000"/>
                          <a:headEnd/>
                          <a:tailEnd/>
                        </a:ln>
                      </wps:spPr>
                      <wps:txbx>
                        <w:txbxContent>
                          <w:p w14:paraId="6D923A2C" w14:textId="22FCE4E1" w:rsidR="00972831" w:rsidRPr="00FA6B89" w:rsidRDefault="00972831" w:rsidP="008F40A9">
                            <w:pPr>
                              <w:spacing w:line="240" w:lineRule="auto"/>
                              <w:rPr>
                                <w:sz w:val="132"/>
                                <w:szCs w:val="132"/>
                              </w:rPr>
                            </w:pPr>
                            <w:r>
                              <w:rPr>
                                <w:rFonts w:ascii="Georgia" w:hAnsi="Georgia"/>
                                <w:color w:val="4E8ABE"/>
                                <w:sz w:val="132"/>
                                <w:szCs w:val="132"/>
                              </w:rPr>
                              <w:t>Derbyshire Constabulary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AFB51" id="_x0000_t202" coordsize="21600,21600" o:spt="202" path="m,l,21600r21600,l21600,xe">
                <v:stroke joinstyle="miter"/>
                <v:path gradientshapeok="t" o:connecttype="rect"/>
              </v:shapetype>
              <v:shape id="Text Box 2" o:spid="_x0000_s1026" type="#_x0000_t202" style="position:absolute;margin-left:-12pt;margin-top:25.85pt;width:693.6pt;height:2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" filled="f" stroked="f">
                <v:textbox>
                  <w:txbxContent>
                    <w:p w14:paraId="6D923A2C" w14:textId="22FCE4E1" w:rsidR="00972831" w:rsidRPr="00FA6B89" w:rsidRDefault="00972831" w:rsidP="008F40A9">
                      <w:pPr>
                        <w:spacing w:line="240" w:lineRule="auto"/>
                        <w:rPr>
                          <w:sz w:val="132"/>
                          <w:szCs w:val="132"/>
                        </w:rPr>
                      </w:pPr>
                      <w:r>
                        <w:rPr>
                          <w:rFonts w:ascii="Georgia" w:hAnsi="Georgia"/>
                          <w:color w:val="4E8ABE"/>
                          <w:sz w:val="132"/>
                          <w:szCs w:val="132"/>
                        </w:rPr>
                        <w:t>Derbyshire Constabulary</w:t>
                      </w:r>
                    </w:p>
                  </w:txbxContent>
                </v:textbox>
              </v:shape>
            </w:pict>
          </mc:Fallback>
        </mc:AlternateContent>
      </w:r>
    </w:p>
    <w:p w14:paraId="14843D8C" w14:textId="77777777" w:rsidR="0010484F" w:rsidRPr="0010484F" w:rsidRDefault="00697F20" w:rsidP="0010484F">
      <w:pPr>
        <w:rPr>
          <w:rFonts w:ascii="Georgia" w:eastAsia="Times New Roman" w:hAnsi="Georgia" w:cs="Arial"/>
          <w:sz w:val="56"/>
          <w:szCs w:val="56"/>
          <w:lang w:eastAsia="en-GB"/>
        </w:rPr>
        <w:sectPr w:rsidR="0010484F" w:rsidRPr="0010484F" w:rsidSect="00880091">
          <w:footerReference w:type="default" r:id="rId13"/>
          <w:pgSz w:w="16838" w:h="11906" w:orient="landscape"/>
          <w:pgMar w:top="1440" w:right="1440" w:bottom="1440" w:left="1440" w:header="708" w:footer="708" w:gutter="0"/>
          <w:cols w:space="708"/>
          <w:titlePg/>
          <w:docGrid w:linePitch="360"/>
        </w:sectPr>
      </w:pPr>
      <w:r w:rsidRPr="00A53799">
        <w:rPr>
          <w:rFonts w:ascii="Georgia" w:eastAsia="Times New Roman" w:hAnsi="Georgia" w:cs="Arial"/>
          <w:noProof/>
          <w:sz w:val="56"/>
          <w:szCs w:val="56"/>
          <w:lang w:eastAsia="en-GB"/>
        </w:rPr>
        <mc:AlternateContent>
          <mc:Choice Requires="wps">
            <w:drawing>
              <wp:anchor distT="0" distB="0" distL="114300" distR="114300" simplePos="0" relativeHeight="251671552" behindDoc="0" locked="0" layoutInCell="1" allowOverlap="1" wp14:anchorId="6EA07162" wp14:editId="1C2AB46A">
                <wp:simplePos x="0" y="0"/>
                <wp:positionH relativeFrom="column">
                  <wp:posOffset>-131255</wp:posOffset>
                </wp:positionH>
                <wp:positionV relativeFrom="paragraph">
                  <wp:posOffset>3600450</wp:posOffset>
                </wp:positionV>
                <wp:extent cx="237426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A305E89" w14:textId="065ED801" w:rsidR="00972831" w:rsidRPr="005B6770" w:rsidRDefault="00972831" w:rsidP="00A53799">
                            <w:pPr>
                              <w:spacing w:after="120" w:line="240" w:lineRule="auto"/>
                              <w:rPr>
                                <w:bCs/>
                                <w:iCs/>
                                <w:sz w:val="36"/>
                                <w:szCs w:val="36"/>
                              </w:rPr>
                            </w:pPr>
                            <w:r w:rsidRPr="005B6770">
                              <w:rPr>
                                <w:bCs/>
                                <w:iCs/>
                                <w:sz w:val="36"/>
                                <w:szCs w:val="36"/>
                              </w:rPr>
                              <w:t>March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A07162" id="_x0000_s1027" type="#_x0000_t202" style="position:absolute;margin-left:-10.35pt;margin-top:283.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" filled="f" stroked="f">
                <v:textbox style="mso-fit-shape-to-text:t">
                  <w:txbxContent>
                    <w:p w14:paraId="1A305E89" w14:textId="065ED801" w:rsidR="00972831" w:rsidRPr="005B6770" w:rsidRDefault="00972831" w:rsidP="00A53799">
                      <w:pPr>
                        <w:spacing w:after="120" w:line="240" w:lineRule="auto"/>
                        <w:rPr>
                          <w:bCs/>
                          <w:iCs/>
                          <w:sz w:val="36"/>
                          <w:szCs w:val="36"/>
                        </w:rPr>
                      </w:pPr>
                      <w:r w:rsidRPr="005B6770">
                        <w:rPr>
                          <w:bCs/>
                          <w:iCs/>
                          <w:sz w:val="36"/>
                          <w:szCs w:val="36"/>
                        </w:rPr>
                        <w:t>March 2019</w:t>
                      </w:r>
                    </w:p>
                  </w:txbxContent>
                </v:textbox>
              </v:shape>
            </w:pict>
          </mc:Fallback>
        </mc:AlternateContent>
      </w:r>
      <w:r>
        <w:rPr>
          <w:rFonts w:ascii="Georgia" w:eastAsia="Times New Roman" w:hAnsi="Georgia" w:cs="Arial"/>
          <w:noProof/>
          <w:sz w:val="56"/>
          <w:szCs w:val="56"/>
          <w:lang w:eastAsia="en-GB"/>
        </w:rPr>
        <w:drawing>
          <wp:anchor distT="0" distB="0" distL="114300" distR="114300" simplePos="0" relativeHeight="251669504" behindDoc="1" locked="0" layoutInCell="1" allowOverlap="1" wp14:anchorId="2D580B12" wp14:editId="25AD6CBC">
            <wp:simplePos x="0" y="0"/>
            <wp:positionH relativeFrom="column">
              <wp:posOffset>-37465</wp:posOffset>
            </wp:positionH>
            <wp:positionV relativeFrom="paragraph">
              <wp:posOffset>2399030</wp:posOffset>
            </wp:positionV>
            <wp:extent cx="5524500" cy="76200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3F">
        <w:rPr>
          <w:rFonts w:ascii="Georgia" w:eastAsia="Times New Roman" w:hAnsi="Georgia" w:cs="Arial"/>
          <w:noProof/>
          <w:sz w:val="56"/>
          <w:szCs w:val="56"/>
          <w:lang w:eastAsia="en-GB"/>
        </w:rPr>
        <mc:AlternateContent>
          <mc:Choice Requires="wps">
            <w:drawing>
              <wp:anchor distT="0" distB="0" distL="114300" distR="114300" simplePos="0" relativeHeight="251667456" behindDoc="0" locked="0" layoutInCell="1" allowOverlap="1" wp14:anchorId="09312ECF" wp14:editId="3EDD6BC1">
                <wp:simplePos x="0" y="0"/>
                <wp:positionH relativeFrom="column">
                  <wp:posOffset>77025</wp:posOffset>
                </wp:positionH>
                <wp:positionV relativeFrom="paragraph">
                  <wp:posOffset>2503170</wp:posOffset>
                </wp:positionV>
                <wp:extent cx="5162550" cy="6172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17220"/>
                        </a:xfrm>
                        <a:prstGeom prst="rect">
                          <a:avLst/>
                        </a:prstGeom>
                        <a:noFill/>
                        <a:ln w="9525">
                          <a:noFill/>
                          <a:miter lim="800000"/>
                          <a:headEnd/>
                          <a:tailEnd/>
                        </a:ln>
                      </wps:spPr>
                      <wps:txbx>
                        <w:txbxContent>
                          <w:p w14:paraId="4D9510B0" w14:textId="77777777" w:rsidR="00972831" w:rsidRPr="00882776" w:rsidRDefault="00972831" w:rsidP="00D2783F">
                            <w:pPr>
                              <w:spacing w:after="0" w:line="240" w:lineRule="auto"/>
                              <w:rPr>
                                <w:rFonts w:ascii="Georgia" w:eastAsia="Times New Roman" w:hAnsi="Georgia" w:cs="Arial"/>
                                <w:bCs/>
                                <w:color w:val="FFFFFF" w:themeColor="background1"/>
                                <w:sz w:val="60"/>
                                <w:szCs w:val="60"/>
                                <w:lang w:eastAsia="en-GB"/>
                              </w:rPr>
                            </w:pPr>
                            <w:r w:rsidRPr="00882776">
                              <w:rPr>
                                <w:rFonts w:ascii="Georgia" w:eastAsia="Times New Roman" w:hAnsi="Georgia" w:cs="Arial"/>
                                <w:bCs/>
                                <w:color w:val="FFFFFF" w:themeColor="background1"/>
                                <w:sz w:val="60"/>
                                <w:szCs w:val="60"/>
                                <w:lang w:eastAsia="en-GB"/>
                              </w:rPr>
                              <w:t xml:space="preserve">Data protection audit report </w:t>
                            </w:r>
                          </w:p>
                          <w:p w14:paraId="6AADFBC3" w14:textId="77777777" w:rsidR="00972831" w:rsidRPr="00E64457" w:rsidRDefault="00972831">
                            <w:pPr>
                              <w:rPr>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12ECF" id="_x0000_s1028" type="#_x0000_t202" style="position:absolute;margin-left:6.05pt;margin-top:197.1pt;width:406.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" filled="f" stroked="f">
                <v:textbox>
                  <w:txbxContent>
                    <w:p w14:paraId="4D9510B0" w14:textId="77777777" w:rsidR="00972831" w:rsidRPr="00882776" w:rsidRDefault="00972831" w:rsidP="00D2783F">
                      <w:pPr>
                        <w:spacing w:after="0" w:line="240" w:lineRule="auto"/>
                        <w:rPr>
                          <w:rFonts w:ascii="Georgia" w:eastAsia="Times New Roman" w:hAnsi="Georgia" w:cs="Arial"/>
                          <w:bCs/>
                          <w:color w:val="FFFFFF" w:themeColor="background1"/>
                          <w:sz w:val="60"/>
                          <w:szCs w:val="60"/>
                          <w:lang w:eastAsia="en-GB"/>
                        </w:rPr>
                      </w:pPr>
                      <w:r w:rsidRPr="00882776">
                        <w:rPr>
                          <w:rFonts w:ascii="Georgia" w:eastAsia="Times New Roman" w:hAnsi="Georgia" w:cs="Arial"/>
                          <w:bCs/>
                          <w:color w:val="FFFFFF" w:themeColor="background1"/>
                          <w:sz w:val="60"/>
                          <w:szCs w:val="60"/>
                          <w:lang w:eastAsia="en-GB"/>
                        </w:rPr>
                        <w:t xml:space="preserve">Data protection audit report </w:t>
                      </w:r>
                    </w:p>
                    <w:p w14:paraId="6AADFBC3" w14:textId="77777777" w:rsidR="00972831" w:rsidRPr="00E64457" w:rsidRDefault="00972831">
                      <w:pPr>
                        <w:rPr>
                          <w:sz w:val="60"/>
                          <w:szCs w:val="60"/>
                        </w:rPr>
                      </w:pPr>
                    </w:p>
                  </w:txbxContent>
                </v:textbox>
              </v:shape>
            </w:pict>
          </mc:Fallback>
        </mc:AlternateContent>
      </w:r>
      <w:r w:rsidR="00A53799" w:rsidRPr="00A53799">
        <w:rPr>
          <w:rFonts w:ascii="Georgia" w:eastAsia="Times New Roman" w:hAnsi="Georgia" w:cs="Arial"/>
          <w:noProof/>
          <w:sz w:val="56"/>
          <w:szCs w:val="56"/>
          <w:lang w:eastAsia="en-GB"/>
        </w:rPr>
        <w:drawing>
          <wp:anchor distT="0" distB="0" distL="114300" distR="114300" simplePos="0" relativeHeight="251672576" behindDoc="0" locked="0" layoutInCell="1" allowOverlap="1" wp14:anchorId="4F7B9990" wp14:editId="53BF09F8">
            <wp:simplePos x="0" y="0"/>
            <wp:positionH relativeFrom="column">
              <wp:posOffset>-356235</wp:posOffset>
            </wp:positionH>
            <wp:positionV relativeFrom="paragraph">
              <wp:posOffset>4487735</wp:posOffset>
            </wp:positionV>
            <wp:extent cx="2159635" cy="14376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logo-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635" cy="1437640"/>
                    </a:xfrm>
                    <a:prstGeom prst="rect">
                      <a:avLst/>
                    </a:prstGeom>
                  </pic:spPr>
                </pic:pic>
              </a:graphicData>
            </a:graphic>
            <wp14:sizeRelH relativeFrom="page">
              <wp14:pctWidth>0</wp14:pctWidth>
            </wp14:sizeRelH>
            <wp14:sizeRelV relativeFrom="page">
              <wp14:pctHeight>0</wp14:pctHeight>
            </wp14:sizeRelV>
          </wp:anchor>
        </w:drawing>
      </w:r>
    </w:p>
    <w:p w14:paraId="3039E965" w14:textId="77777777" w:rsidR="003E6496" w:rsidRPr="00A73118" w:rsidRDefault="003E6496" w:rsidP="003E6496">
      <w:pPr>
        <w:pStyle w:val="Header"/>
        <w:spacing w:before="120" w:after="720"/>
        <w:rPr>
          <w:rFonts w:ascii="Georgia" w:hAnsi="Georgia"/>
          <w:color w:val="4E8ABE"/>
          <w:sz w:val="96"/>
          <w:szCs w:val="96"/>
        </w:rPr>
      </w:pPr>
      <w:r>
        <w:rPr>
          <w:rFonts w:ascii="Georgia" w:hAnsi="Georgia"/>
          <w:noProof/>
          <w:color w:val="4E8ABE"/>
          <w:sz w:val="96"/>
          <w:szCs w:val="96"/>
          <w:lang w:eastAsia="en-GB"/>
        </w:rPr>
        <w:lastRenderedPageBreak/>
        <mc:AlternateContent>
          <mc:Choice Requires="wps">
            <w:drawing>
              <wp:anchor distT="0" distB="0" distL="114300" distR="114300" simplePos="0" relativeHeight="251674624" behindDoc="0" locked="0" layoutInCell="1" allowOverlap="1" wp14:anchorId="62EE5512" wp14:editId="6C42758B">
                <wp:simplePos x="0" y="0"/>
                <wp:positionH relativeFrom="column">
                  <wp:posOffset>35560</wp:posOffset>
                </wp:positionH>
                <wp:positionV relativeFrom="paragraph">
                  <wp:posOffset>975360</wp:posOffset>
                </wp:positionV>
                <wp:extent cx="7077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07707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508040"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76.8pt" to="560.0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" strokecolor="#4f81bd [3204]" strokeweight="1.5pt"/>
            </w:pict>
          </mc:Fallback>
        </mc:AlternateContent>
      </w:r>
      <w:r>
        <w:rPr>
          <w:rFonts w:ascii="Georgia" w:hAnsi="Georgia"/>
          <w:noProof/>
          <w:color w:val="4E8ABE"/>
          <w:sz w:val="96"/>
          <w:szCs w:val="96"/>
          <w:lang w:eastAsia="en-GB"/>
        </w:rPr>
        <w:drawing>
          <wp:anchor distT="0" distB="0" distL="114300" distR="114300" simplePos="0" relativeHeight="251675648" behindDoc="0" locked="0" layoutInCell="1" allowOverlap="1" wp14:anchorId="4CA445D0" wp14:editId="55172131">
            <wp:simplePos x="0" y="0"/>
            <wp:positionH relativeFrom="column">
              <wp:posOffset>7205980</wp:posOffset>
            </wp:positionH>
            <wp:positionV relativeFrom="paragraph">
              <wp:posOffset>-78105</wp:posOffset>
            </wp:positionV>
            <wp:extent cx="1494000" cy="10656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emf"/>
                    <pic:cNvPicPr/>
                  </pic:nvPicPr>
                  <pic:blipFill>
                    <a:blip r:embed="rId16">
                      <a:extLst>
                        <a:ext uri="{28A0092B-C50C-407E-A947-70E740481C1C}">
                          <a14:useLocalDpi xmlns:a14="http://schemas.microsoft.com/office/drawing/2010/main" val="0"/>
                        </a:ext>
                      </a:extLst>
                    </a:blip>
                    <a:stretch>
                      <a:fillRect/>
                    </a:stretch>
                  </pic:blipFill>
                  <pic:spPr>
                    <a:xfrm>
                      <a:off x="0" y="0"/>
                      <a:ext cx="1494000" cy="1065600"/>
                    </a:xfrm>
                    <a:prstGeom prst="rect">
                      <a:avLst/>
                    </a:prstGeom>
                  </pic:spPr>
                </pic:pic>
              </a:graphicData>
            </a:graphic>
            <wp14:sizeRelH relativeFrom="margin">
              <wp14:pctWidth>0</wp14:pctWidth>
            </wp14:sizeRelH>
            <wp14:sizeRelV relativeFrom="margin">
              <wp14:pctHeight>0</wp14:pctHeight>
            </wp14:sizeRelV>
          </wp:anchor>
        </w:drawing>
      </w:r>
      <w:r w:rsidRPr="00A73118">
        <w:rPr>
          <w:rFonts w:ascii="Georgia" w:hAnsi="Georgia"/>
          <w:color w:val="4E8ABE"/>
          <w:sz w:val="96"/>
          <w:szCs w:val="96"/>
        </w:rPr>
        <w:t>Executive summary</w:t>
      </w:r>
    </w:p>
    <w:p w14:paraId="38BB90BF" w14:textId="77777777" w:rsidR="003E6496" w:rsidRPr="00E17DE7" w:rsidRDefault="00E17DE7" w:rsidP="00250A59">
      <w:pPr>
        <w:rPr>
          <w:rFonts w:ascii="Georgia" w:hAnsi="Georgia"/>
          <w:color w:val="4F81BD" w:themeColor="accent1"/>
          <w:sz w:val="36"/>
          <w:szCs w:val="36"/>
        </w:rPr>
      </w:pPr>
      <w:r>
        <w:rPr>
          <w:rFonts w:ascii="Georgia" w:hAnsi="Georgia"/>
          <w:color w:val="4F81BD" w:themeColor="accent1"/>
          <w:sz w:val="36"/>
          <w:szCs w:val="36"/>
        </w:rPr>
        <w:t>Audit Methodology</w:t>
      </w:r>
    </w:p>
    <w:p w14:paraId="32890B3D" w14:textId="1138BED1" w:rsidR="00C871C6" w:rsidRDefault="00C871C6" w:rsidP="00880091">
      <w:pPr>
        <w:tabs>
          <w:tab w:val="left" w:pos="360"/>
          <w:tab w:val="left" w:pos="900"/>
          <w:tab w:val="left" w:pos="1260"/>
        </w:tabs>
        <w:spacing w:after="0" w:line="240" w:lineRule="auto"/>
        <w:jc w:val="both"/>
        <w:rPr>
          <w:rFonts w:eastAsia="Times New Roman" w:cs="Arial"/>
          <w:lang w:eastAsia="en-GB"/>
        </w:rPr>
      </w:pPr>
      <w:r w:rsidRPr="00C871C6">
        <w:rPr>
          <w:rFonts w:eastAsia="Times New Roman" w:cs="Arial"/>
          <w:lang w:eastAsia="en-GB"/>
        </w:rPr>
        <w:t>The</w:t>
      </w:r>
      <w:bookmarkStart w:id="0" w:name="_GoBack"/>
      <w:bookmarkEnd w:id="0"/>
      <w:r w:rsidRPr="00C871C6">
        <w:rPr>
          <w:rFonts w:eastAsia="Times New Roman" w:cs="Arial"/>
          <w:lang w:eastAsia="en-GB"/>
        </w:rPr>
        <w:t xml:space="preserve"> Information Commissioner is responsible for enforcing and promoting compliance with the General Data Protection Regulation (GDPR), the Data Protection Act 2018 (DPA18) and other data protection legislation. Section 146 of the DPA18 provides the Information Commissioner’s Office (ICO) with the power</w:t>
      </w:r>
      <w:r w:rsidR="00B32174">
        <w:rPr>
          <w:rFonts w:eastAsia="Times New Roman" w:cs="Arial"/>
          <w:lang w:eastAsia="en-GB"/>
        </w:rPr>
        <w:t xml:space="preserve"> to</w:t>
      </w:r>
      <w:r w:rsidRPr="00C871C6">
        <w:rPr>
          <w:rFonts w:eastAsia="Times New Roman" w:cs="Arial"/>
          <w:lang w:eastAsia="en-GB"/>
        </w:rPr>
        <w:t xml:space="preserve"> conduct compulsory audits through the issue of assessment notices. Section 129 of the DPA18 allows the ICO to carry out consensual audits. The ICO sees auditing as a constructive process with real benefits for controllers and so aims to establish a participative approach</w:t>
      </w:r>
      <w:r>
        <w:rPr>
          <w:rFonts w:eastAsia="Times New Roman" w:cs="Arial"/>
          <w:lang w:eastAsia="en-GB"/>
        </w:rPr>
        <w:t>.</w:t>
      </w:r>
    </w:p>
    <w:p w14:paraId="57C47413" w14:textId="77777777" w:rsidR="00880091" w:rsidRPr="00D747A4" w:rsidRDefault="00880091" w:rsidP="00880091">
      <w:pPr>
        <w:pStyle w:val="ListParagraph"/>
        <w:tabs>
          <w:tab w:val="num" w:pos="1620"/>
        </w:tabs>
        <w:spacing w:after="0" w:line="240" w:lineRule="auto"/>
        <w:ind w:left="0"/>
        <w:rPr>
          <w:rFonts w:eastAsia="Times New Roman" w:cs="Arial"/>
          <w:lang w:eastAsia="en-GB"/>
        </w:rPr>
      </w:pPr>
    </w:p>
    <w:p w14:paraId="26A5D4DF" w14:textId="0828DC8F" w:rsidR="00690E0D" w:rsidRPr="00D747A4" w:rsidRDefault="00880091" w:rsidP="00880091">
      <w:pPr>
        <w:spacing w:after="0" w:line="240" w:lineRule="auto"/>
        <w:rPr>
          <w:rFonts w:eastAsia="Times New Roman" w:cs="Arial"/>
          <w:lang w:eastAsia="en-GB"/>
        </w:rPr>
      </w:pPr>
      <w:r w:rsidRPr="00D747A4">
        <w:rPr>
          <w:rFonts w:eastAsia="Times New Roman" w:cs="Arial"/>
          <w:lang w:eastAsia="en-GB"/>
        </w:rPr>
        <w:t xml:space="preserve">The purpose of the audit is to provide the Information Commissioner and </w:t>
      </w:r>
      <w:r w:rsidR="005B6770">
        <w:rPr>
          <w:rFonts w:eastAsia="Times New Roman" w:cs="Arial"/>
          <w:lang w:eastAsia="en-GB"/>
        </w:rPr>
        <w:t>Derbyshire Constabulary (DC)</w:t>
      </w:r>
      <w:r w:rsidRPr="00D747A4">
        <w:rPr>
          <w:rFonts w:eastAsia="Times New Roman" w:cs="Arial"/>
          <w:color w:val="FF0000"/>
          <w:lang w:eastAsia="en-GB"/>
        </w:rPr>
        <w:t xml:space="preserve"> </w:t>
      </w:r>
      <w:r w:rsidRPr="00D747A4">
        <w:rPr>
          <w:rFonts w:eastAsia="Times New Roman" w:cs="Arial"/>
          <w:lang w:eastAsia="en-GB"/>
        </w:rPr>
        <w:t xml:space="preserve">with an independent assurance of the extent to which </w:t>
      </w:r>
      <w:r w:rsidR="005B6770">
        <w:rPr>
          <w:rFonts w:eastAsia="Times New Roman" w:cs="Arial"/>
          <w:lang w:eastAsia="en-GB"/>
        </w:rPr>
        <w:t>DC</w:t>
      </w:r>
      <w:r w:rsidRPr="00D747A4">
        <w:rPr>
          <w:rFonts w:eastAsia="Times New Roman" w:cs="Arial"/>
          <w:lang w:eastAsia="en-GB"/>
        </w:rPr>
        <w:t xml:space="preserve">, within the scope of this agreed </w:t>
      </w:r>
      <w:r w:rsidR="00D747A4" w:rsidRPr="00D747A4">
        <w:rPr>
          <w:rFonts w:eastAsia="Times New Roman" w:cs="Arial"/>
          <w:lang w:eastAsia="en-GB"/>
        </w:rPr>
        <w:t>audit, is complying with data protection legislation</w:t>
      </w:r>
      <w:r w:rsidRPr="00D747A4">
        <w:rPr>
          <w:rFonts w:eastAsia="Times New Roman" w:cs="Arial"/>
          <w:lang w:eastAsia="en-GB"/>
        </w:rPr>
        <w:t>.</w:t>
      </w:r>
    </w:p>
    <w:p w14:paraId="42E42BEE" w14:textId="77777777" w:rsidR="00880091" w:rsidRPr="00D747A4" w:rsidRDefault="00880091" w:rsidP="00880091">
      <w:pPr>
        <w:spacing w:after="0" w:line="240" w:lineRule="auto"/>
        <w:rPr>
          <w:rFonts w:eastAsia="Times New Roman" w:cs="Arial"/>
          <w:lang w:eastAsia="en-GB"/>
        </w:rPr>
      </w:pPr>
    </w:p>
    <w:p w14:paraId="467616C9" w14:textId="674447EC" w:rsidR="00880091" w:rsidRPr="00D747A4" w:rsidRDefault="00880091" w:rsidP="00880091">
      <w:pPr>
        <w:spacing w:after="0" w:line="240" w:lineRule="auto"/>
      </w:pPr>
      <w:r w:rsidRPr="00D747A4">
        <w:rPr>
          <w:rFonts w:eastAsia="Times New Roman" w:cs="Arial"/>
          <w:lang w:eastAsia="en-GB"/>
        </w:rPr>
        <w:t>It was agreed that the audit would focus on the following area(s):</w:t>
      </w:r>
    </w:p>
    <w:p w14:paraId="3B55083E" w14:textId="77777777" w:rsidR="00880091" w:rsidRDefault="00880091" w:rsidP="00880091">
      <w:pPr>
        <w:spacing w:after="0" w:line="240" w:lineRule="auto"/>
        <w:rPr>
          <w:sz w:val="24"/>
          <w:szCs w:val="24"/>
        </w:rPr>
      </w:pPr>
    </w:p>
    <w:tbl>
      <w:tblPr>
        <w:tblStyle w:val="TableGrid"/>
        <w:tblW w:w="14124" w:type="dxa"/>
        <w:tblInd w:w="108" w:type="dxa"/>
        <w:tblLook w:val="04A0" w:firstRow="1" w:lastRow="0" w:firstColumn="1" w:lastColumn="0" w:noHBand="0" w:noVBand="1"/>
      </w:tblPr>
      <w:tblGrid>
        <w:gridCol w:w="3854"/>
        <w:gridCol w:w="10270"/>
      </w:tblGrid>
      <w:tr w:rsidR="00880091" w14:paraId="242E9CF1" w14:textId="77777777" w:rsidTr="00880091">
        <w:trPr>
          <w:trHeight w:val="295"/>
        </w:trPr>
        <w:tc>
          <w:tcPr>
            <w:tcW w:w="3854" w:type="dxa"/>
          </w:tcPr>
          <w:p w14:paraId="482A0997" w14:textId="77777777" w:rsidR="00880091" w:rsidRPr="00322C45" w:rsidRDefault="00880091" w:rsidP="00880091">
            <w:pPr>
              <w:rPr>
                <w:b/>
                <w:sz w:val="24"/>
                <w:szCs w:val="24"/>
              </w:rPr>
            </w:pPr>
            <w:r w:rsidRPr="00322C45">
              <w:rPr>
                <w:b/>
                <w:sz w:val="24"/>
                <w:szCs w:val="24"/>
              </w:rPr>
              <w:t>Scope Area</w:t>
            </w:r>
          </w:p>
        </w:tc>
        <w:tc>
          <w:tcPr>
            <w:tcW w:w="10270" w:type="dxa"/>
          </w:tcPr>
          <w:p w14:paraId="0FBEC23F" w14:textId="77777777" w:rsidR="00880091" w:rsidRPr="00322C45" w:rsidRDefault="00880091" w:rsidP="00880091">
            <w:pPr>
              <w:rPr>
                <w:b/>
                <w:sz w:val="24"/>
                <w:szCs w:val="24"/>
              </w:rPr>
            </w:pPr>
            <w:r w:rsidRPr="00322C45">
              <w:rPr>
                <w:b/>
                <w:sz w:val="24"/>
                <w:szCs w:val="24"/>
              </w:rPr>
              <w:t>Description</w:t>
            </w:r>
          </w:p>
        </w:tc>
      </w:tr>
      <w:tr w:rsidR="00880091" w14:paraId="1ACC0791" w14:textId="77777777" w:rsidTr="00880091">
        <w:trPr>
          <w:trHeight w:val="295"/>
        </w:trPr>
        <w:tc>
          <w:tcPr>
            <w:tcW w:w="3854" w:type="dxa"/>
          </w:tcPr>
          <w:p w14:paraId="2B4789EA" w14:textId="7BD8C15B" w:rsidR="00880091" w:rsidRDefault="005B6770" w:rsidP="005B6770">
            <w:pPr>
              <w:rPr>
                <w:sz w:val="24"/>
                <w:szCs w:val="24"/>
              </w:rPr>
            </w:pPr>
            <w:r>
              <w:rPr>
                <w:sz w:val="24"/>
                <w:szCs w:val="24"/>
              </w:rPr>
              <w:t>Governance &amp; Accountability</w:t>
            </w:r>
          </w:p>
        </w:tc>
        <w:tc>
          <w:tcPr>
            <w:tcW w:w="10270" w:type="dxa"/>
          </w:tcPr>
          <w:p w14:paraId="7282B0F8" w14:textId="06E1A79D" w:rsidR="00880091" w:rsidRDefault="005B6770" w:rsidP="00880091">
            <w:pPr>
              <w:rPr>
                <w:sz w:val="24"/>
                <w:szCs w:val="24"/>
              </w:rPr>
            </w:pPr>
            <w:r w:rsidRPr="005B6770">
              <w:rPr>
                <w:sz w:val="24"/>
                <w:szCs w:val="24"/>
              </w:rPr>
              <w:t>The extent to which information governance accountability, policies and procedures, performance measurement controls, and reporting mechanisms to monitor data protection compliance to both the GDPR and national data protection legislation are in place and in operation throughout the organisation.</w:t>
            </w:r>
          </w:p>
        </w:tc>
      </w:tr>
      <w:tr w:rsidR="00880091" w14:paraId="43193649" w14:textId="77777777" w:rsidTr="00880091">
        <w:trPr>
          <w:trHeight w:val="311"/>
        </w:trPr>
        <w:tc>
          <w:tcPr>
            <w:tcW w:w="3854" w:type="dxa"/>
          </w:tcPr>
          <w:p w14:paraId="204B07B1" w14:textId="31159D46" w:rsidR="00880091" w:rsidRDefault="005B6770" w:rsidP="005764BB">
            <w:pPr>
              <w:rPr>
                <w:sz w:val="24"/>
                <w:szCs w:val="24"/>
              </w:rPr>
            </w:pPr>
            <w:r>
              <w:rPr>
                <w:sz w:val="24"/>
                <w:szCs w:val="24"/>
              </w:rPr>
              <w:t>Security</w:t>
            </w:r>
            <w:r w:rsidR="005764BB">
              <w:rPr>
                <w:sz w:val="24"/>
                <w:szCs w:val="24"/>
              </w:rPr>
              <w:t xml:space="preserve"> of Personal Data</w:t>
            </w:r>
          </w:p>
        </w:tc>
        <w:tc>
          <w:tcPr>
            <w:tcW w:w="10270" w:type="dxa"/>
          </w:tcPr>
          <w:p w14:paraId="7972C5BF" w14:textId="2E32AD56" w:rsidR="00880091" w:rsidRDefault="005B6770" w:rsidP="00880091">
            <w:pPr>
              <w:rPr>
                <w:sz w:val="24"/>
                <w:szCs w:val="24"/>
              </w:rPr>
            </w:pPr>
            <w:r w:rsidRPr="005B6770">
              <w:rPr>
                <w:sz w:val="24"/>
                <w:szCs w:val="24"/>
              </w:rPr>
              <w:t>There are appropriate technical and organisational measures in place to ensure the confidentiality, integrity and availability of manually and electronically processed personal data.</w:t>
            </w:r>
          </w:p>
        </w:tc>
      </w:tr>
      <w:tr w:rsidR="00880091" w14:paraId="5D045FD9" w14:textId="77777777" w:rsidTr="00880091">
        <w:trPr>
          <w:trHeight w:val="295"/>
        </w:trPr>
        <w:tc>
          <w:tcPr>
            <w:tcW w:w="3854" w:type="dxa"/>
          </w:tcPr>
          <w:p w14:paraId="394458C6" w14:textId="2804DA4C" w:rsidR="00880091" w:rsidRDefault="005B6770" w:rsidP="00880091">
            <w:pPr>
              <w:rPr>
                <w:sz w:val="24"/>
                <w:szCs w:val="24"/>
              </w:rPr>
            </w:pPr>
            <w:r>
              <w:rPr>
                <w:sz w:val="24"/>
                <w:szCs w:val="24"/>
              </w:rPr>
              <w:t>Data Sharing</w:t>
            </w:r>
          </w:p>
        </w:tc>
        <w:tc>
          <w:tcPr>
            <w:tcW w:w="10270" w:type="dxa"/>
          </w:tcPr>
          <w:p w14:paraId="0E0E7DFF" w14:textId="7C57E6BF" w:rsidR="00880091" w:rsidRDefault="005B6770" w:rsidP="00880091">
            <w:pPr>
              <w:rPr>
                <w:sz w:val="24"/>
                <w:szCs w:val="24"/>
              </w:rPr>
            </w:pPr>
            <w:r w:rsidRPr="005B6770">
              <w:rPr>
                <w:sz w:val="24"/>
                <w:szCs w:val="24"/>
              </w:rPr>
              <w:t>The design and operation of controls to ensure the sharing of personal data complies with the principles of all data protection legislation.</w:t>
            </w:r>
          </w:p>
        </w:tc>
      </w:tr>
    </w:tbl>
    <w:p w14:paraId="0BDDFB3A" w14:textId="77777777" w:rsidR="00880091" w:rsidRDefault="00880091" w:rsidP="00880091">
      <w:pPr>
        <w:spacing w:after="0" w:line="240" w:lineRule="auto"/>
        <w:rPr>
          <w:sz w:val="24"/>
          <w:szCs w:val="24"/>
        </w:rPr>
      </w:pPr>
    </w:p>
    <w:p w14:paraId="5DFB890E" w14:textId="77777777" w:rsidR="00880091" w:rsidRPr="00D747A4" w:rsidRDefault="00880091" w:rsidP="00880091">
      <w:pPr>
        <w:spacing w:after="0" w:line="240" w:lineRule="auto"/>
        <w:rPr>
          <w:rFonts w:eastAsia="Times New Roman" w:cs="Arial"/>
          <w:lang w:eastAsia="en-GB"/>
        </w:rPr>
      </w:pPr>
      <w:r w:rsidRPr="00D747A4">
        <w:rPr>
          <w:rFonts w:eastAsia="Times New Roman" w:cs="Arial"/>
          <w:lang w:eastAsia="en-GB"/>
        </w:rPr>
        <w:t xml:space="preserve">The audit was conducted following the Information Commissioner’s data protection audit methodology. The key elements of this are a desk-based review of selected policies and procedures, on-site visits including interviews with selected staff, and an inspection of selected records. </w:t>
      </w:r>
    </w:p>
    <w:p w14:paraId="15C5C5A4" w14:textId="77777777" w:rsidR="00880091" w:rsidRPr="00A17046" w:rsidRDefault="00880091" w:rsidP="00880091">
      <w:pPr>
        <w:pStyle w:val="ListParagraph"/>
        <w:spacing w:after="0" w:line="240" w:lineRule="auto"/>
        <w:ind w:left="0"/>
        <w:rPr>
          <w:rFonts w:eastAsia="Times New Roman" w:cs="Arial"/>
          <w:sz w:val="24"/>
          <w:szCs w:val="24"/>
          <w:lang w:eastAsia="en-GB"/>
        </w:rPr>
      </w:pPr>
    </w:p>
    <w:p w14:paraId="5F3BD91A" w14:textId="3FF48A78" w:rsidR="00880091" w:rsidRPr="00D747A4" w:rsidRDefault="00880091" w:rsidP="00880091">
      <w:pPr>
        <w:spacing w:after="0" w:line="240" w:lineRule="auto"/>
        <w:rPr>
          <w:rFonts w:eastAsia="Times New Roman" w:cs="Arial"/>
          <w:lang w:eastAsia="en-GB"/>
        </w:rPr>
      </w:pPr>
      <w:r w:rsidRPr="00D747A4">
        <w:rPr>
          <w:rFonts w:eastAsia="Times New Roman" w:cs="Arial"/>
          <w:lang w:eastAsia="en-GB"/>
        </w:rPr>
        <w:t>Where weaknesses were identified recommendations have been made, primarily around enhancing existing processes to fa</w:t>
      </w:r>
      <w:r w:rsidR="00EC3DE2">
        <w:rPr>
          <w:rFonts w:eastAsia="Times New Roman" w:cs="Arial"/>
          <w:lang w:eastAsia="en-GB"/>
        </w:rPr>
        <w:t>cilitate compliance with data protection legislation</w:t>
      </w:r>
      <w:r w:rsidRPr="00D747A4">
        <w:rPr>
          <w:rFonts w:eastAsia="Times New Roman" w:cs="Arial"/>
          <w:lang w:eastAsia="en-GB"/>
        </w:rPr>
        <w:t xml:space="preserve">. In order to assist </w:t>
      </w:r>
      <w:r w:rsidR="005B6770">
        <w:rPr>
          <w:rFonts w:eastAsia="Times New Roman" w:cs="Arial"/>
          <w:lang w:eastAsia="en-GB"/>
        </w:rPr>
        <w:t>DC</w:t>
      </w:r>
      <w:r w:rsidRPr="00D747A4">
        <w:rPr>
          <w:rFonts w:eastAsia="Times New Roman" w:cs="Arial"/>
          <w:color w:val="FF0000"/>
          <w:lang w:eastAsia="en-GB"/>
        </w:rPr>
        <w:t xml:space="preserve"> </w:t>
      </w:r>
      <w:r w:rsidRPr="00D747A4">
        <w:rPr>
          <w:rFonts w:eastAsia="Times New Roman" w:cs="Arial"/>
          <w:lang w:eastAsia="en-GB"/>
        </w:rPr>
        <w:t xml:space="preserve">in implementing the recommendations each has been assigned a priority rating based upon the risks that they are intended to address. The ratings are assigned based upon the ICO’s assessment of the risks involved. </w:t>
      </w:r>
      <w:r w:rsidR="005B6770">
        <w:rPr>
          <w:rFonts w:eastAsia="Times New Roman" w:cs="Arial"/>
          <w:lang w:eastAsia="en-GB"/>
        </w:rPr>
        <w:t>DC’S</w:t>
      </w:r>
      <w:r w:rsidRPr="00D747A4">
        <w:rPr>
          <w:rFonts w:eastAsia="Times New Roman" w:cs="Arial"/>
          <w:color w:val="FF0000"/>
          <w:lang w:eastAsia="en-GB"/>
        </w:rPr>
        <w:t xml:space="preserve"> </w:t>
      </w:r>
      <w:r w:rsidRPr="00D747A4">
        <w:rPr>
          <w:rFonts w:eastAsia="Times New Roman" w:cs="Arial"/>
          <w:lang w:eastAsia="en-GB"/>
        </w:rPr>
        <w:t>priorities and risk appetite may vary and, therefore, they should undertake their own assessments of the risks identified.</w:t>
      </w:r>
    </w:p>
    <w:p w14:paraId="1604A0F3" w14:textId="77777777" w:rsidR="00A87FD9" w:rsidRDefault="00A87FD9" w:rsidP="00880091">
      <w:pPr>
        <w:spacing w:after="0" w:line="240" w:lineRule="auto"/>
        <w:rPr>
          <w:rFonts w:eastAsia="Times New Roman" w:cs="Arial"/>
          <w:lang w:eastAsia="en-GB"/>
        </w:rPr>
      </w:pPr>
    </w:p>
    <w:p w14:paraId="394185BA" w14:textId="77777777" w:rsidR="005764BB" w:rsidRPr="00D747A4" w:rsidRDefault="005764BB" w:rsidP="00880091">
      <w:pPr>
        <w:spacing w:after="0" w:line="240" w:lineRule="auto"/>
        <w:rPr>
          <w:rFonts w:eastAsia="Times New Roman" w:cs="Arial"/>
          <w:lang w:eastAsia="en-GB"/>
        </w:rPr>
      </w:pPr>
    </w:p>
    <w:p w14:paraId="7D2DC95E" w14:textId="77777777" w:rsidR="0032057B" w:rsidRPr="0032057B" w:rsidRDefault="0032057B" w:rsidP="0032057B">
      <w:pPr>
        <w:rPr>
          <w:rFonts w:ascii="Georgia" w:hAnsi="Georgia"/>
          <w:color w:val="4F81BD" w:themeColor="accent1"/>
          <w:sz w:val="36"/>
          <w:szCs w:val="36"/>
        </w:rPr>
      </w:pPr>
      <w:r w:rsidRPr="0032057B">
        <w:rPr>
          <w:rFonts w:ascii="Georgia" w:hAnsi="Georgia"/>
          <w:color w:val="4F81BD" w:themeColor="accent1"/>
          <w:sz w:val="36"/>
          <w:szCs w:val="36"/>
        </w:rPr>
        <w:t>Audit Summary</w:t>
      </w:r>
    </w:p>
    <w:tbl>
      <w:tblPr>
        <w:tblW w:w="14320" w:type="dxa"/>
        <w:tblInd w:w="113" w:type="dxa"/>
        <w:tblLook w:val="04A0" w:firstRow="1" w:lastRow="0" w:firstColumn="1" w:lastColumn="0" w:noHBand="0" w:noVBand="1"/>
      </w:tblPr>
      <w:tblGrid>
        <w:gridCol w:w="4100"/>
        <w:gridCol w:w="3340"/>
        <w:gridCol w:w="6880"/>
      </w:tblGrid>
      <w:tr w:rsidR="005764BB" w:rsidRPr="005764BB" w14:paraId="6EA87CC7" w14:textId="77777777" w:rsidTr="005764BB">
        <w:trPr>
          <w:trHeight w:val="420"/>
        </w:trPr>
        <w:tc>
          <w:tcPr>
            <w:tcW w:w="410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05FD08E2" w14:textId="77777777" w:rsidR="005764BB" w:rsidRPr="005764BB" w:rsidRDefault="005764BB" w:rsidP="005764BB">
            <w:pPr>
              <w:spacing w:after="0" w:line="240" w:lineRule="auto"/>
              <w:jc w:val="center"/>
              <w:rPr>
                <w:rFonts w:ascii="Calibri" w:eastAsia="Times New Roman" w:hAnsi="Calibri" w:cs="Times New Roman"/>
                <w:color w:val="FFFFFF"/>
                <w:sz w:val="32"/>
                <w:szCs w:val="32"/>
                <w:lang w:eastAsia="en-GB"/>
              </w:rPr>
            </w:pPr>
            <w:r w:rsidRPr="005764BB">
              <w:rPr>
                <w:rFonts w:ascii="Calibri" w:eastAsia="Times New Roman" w:hAnsi="Calibri" w:cs="Times New Roman"/>
                <w:color w:val="FFFFFF"/>
                <w:sz w:val="32"/>
                <w:szCs w:val="32"/>
                <w:lang w:eastAsia="en-GB"/>
              </w:rPr>
              <w:t>Audit Scope Area</w:t>
            </w:r>
          </w:p>
        </w:tc>
        <w:tc>
          <w:tcPr>
            <w:tcW w:w="3340" w:type="dxa"/>
            <w:tcBorders>
              <w:top w:val="single" w:sz="4" w:space="0" w:color="auto"/>
              <w:left w:val="nil"/>
              <w:bottom w:val="single" w:sz="4" w:space="0" w:color="auto"/>
              <w:right w:val="single" w:sz="4" w:space="0" w:color="auto"/>
            </w:tcBorders>
            <w:shd w:val="clear" w:color="000000" w:fill="1F497D"/>
            <w:noWrap/>
            <w:vAlign w:val="center"/>
            <w:hideMark/>
          </w:tcPr>
          <w:p w14:paraId="574A765B" w14:textId="77777777" w:rsidR="005764BB" w:rsidRPr="005764BB" w:rsidRDefault="005764BB" w:rsidP="005764BB">
            <w:pPr>
              <w:spacing w:after="0" w:line="240" w:lineRule="auto"/>
              <w:jc w:val="center"/>
              <w:rPr>
                <w:rFonts w:ascii="Calibri" w:eastAsia="Times New Roman" w:hAnsi="Calibri" w:cs="Times New Roman"/>
                <w:color w:val="FFFFFF"/>
                <w:sz w:val="32"/>
                <w:szCs w:val="32"/>
                <w:lang w:eastAsia="en-GB"/>
              </w:rPr>
            </w:pPr>
            <w:r w:rsidRPr="005764BB">
              <w:rPr>
                <w:rFonts w:ascii="Calibri" w:eastAsia="Times New Roman" w:hAnsi="Calibri" w:cs="Times New Roman"/>
                <w:color w:val="FFFFFF"/>
                <w:sz w:val="32"/>
                <w:szCs w:val="32"/>
                <w:lang w:eastAsia="en-GB"/>
              </w:rPr>
              <w:t>Assurance Rating</w:t>
            </w:r>
          </w:p>
        </w:tc>
        <w:tc>
          <w:tcPr>
            <w:tcW w:w="6880" w:type="dxa"/>
            <w:tcBorders>
              <w:top w:val="single" w:sz="4" w:space="0" w:color="auto"/>
              <w:left w:val="nil"/>
              <w:bottom w:val="single" w:sz="4" w:space="0" w:color="auto"/>
              <w:right w:val="single" w:sz="4" w:space="0" w:color="auto"/>
            </w:tcBorders>
            <w:shd w:val="clear" w:color="000000" w:fill="1F497D"/>
            <w:noWrap/>
            <w:vAlign w:val="center"/>
            <w:hideMark/>
          </w:tcPr>
          <w:p w14:paraId="5EAB59FF" w14:textId="77777777" w:rsidR="005764BB" w:rsidRPr="005764BB" w:rsidRDefault="005764BB" w:rsidP="005764BB">
            <w:pPr>
              <w:spacing w:after="0" w:line="240" w:lineRule="auto"/>
              <w:jc w:val="center"/>
              <w:rPr>
                <w:rFonts w:ascii="Calibri" w:eastAsia="Times New Roman" w:hAnsi="Calibri" w:cs="Times New Roman"/>
                <w:color w:val="FFFFFF"/>
                <w:sz w:val="32"/>
                <w:szCs w:val="32"/>
                <w:lang w:eastAsia="en-GB"/>
              </w:rPr>
            </w:pPr>
            <w:r w:rsidRPr="005764BB">
              <w:rPr>
                <w:rFonts w:ascii="Calibri" w:eastAsia="Times New Roman" w:hAnsi="Calibri" w:cs="Times New Roman"/>
                <w:color w:val="FFFFFF"/>
                <w:sz w:val="32"/>
                <w:szCs w:val="32"/>
                <w:lang w:eastAsia="en-GB"/>
              </w:rPr>
              <w:t>Overall opinion</w:t>
            </w:r>
          </w:p>
        </w:tc>
      </w:tr>
      <w:tr w:rsidR="005764BB" w:rsidRPr="005764BB" w14:paraId="108F4AF3" w14:textId="77777777" w:rsidTr="005764BB">
        <w:trPr>
          <w:trHeight w:val="1335"/>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50C7C2C5" w14:textId="77777777" w:rsidR="005764BB" w:rsidRPr="005764BB" w:rsidRDefault="005764BB" w:rsidP="005764BB">
            <w:pPr>
              <w:spacing w:after="0" w:line="240" w:lineRule="auto"/>
              <w:jc w:val="center"/>
              <w:rPr>
                <w:rFonts w:eastAsia="Times New Roman" w:cs="Times New Roman"/>
                <w:color w:val="000000"/>
                <w:lang w:eastAsia="en-GB"/>
              </w:rPr>
            </w:pPr>
            <w:r w:rsidRPr="005764BB">
              <w:rPr>
                <w:rFonts w:eastAsia="Times New Roman" w:cs="Times New Roman"/>
                <w:color w:val="000000"/>
                <w:lang w:eastAsia="en-GB"/>
              </w:rPr>
              <w:lastRenderedPageBreak/>
              <w:t>Governance &amp; Accountability</w:t>
            </w:r>
          </w:p>
        </w:tc>
        <w:tc>
          <w:tcPr>
            <w:tcW w:w="33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A87EFBD" w14:textId="77777777" w:rsidR="005764BB" w:rsidRPr="005764BB" w:rsidRDefault="005764BB" w:rsidP="005764BB">
            <w:pPr>
              <w:spacing w:after="0" w:line="240" w:lineRule="auto"/>
              <w:jc w:val="center"/>
              <w:rPr>
                <w:rFonts w:eastAsia="Times New Roman" w:cs="Times New Roman"/>
                <w:color w:val="000000"/>
                <w:lang w:eastAsia="en-GB"/>
              </w:rPr>
            </w:pPr>
            <w:r w:rsidRPr="005764BB">
              <w:rPr>
                <w:rFonts w:eastAsia="Times New Roman" w:cs="Times New Roman"/>
                <w:color w:val="000000"/>
                <w:lang w:eastAsia="en-GB"/>
              </w:rPr>
              <w:t>Reasonable</w:t>
            </w:r>
          </w:p>
        </w:tc>
        <w:tc>
          <w:tcPr>
            <w:tcW w:w="6880" w:type="dxa"/>
            <w:tcBorders>
              <w:top w:val="nil"/>
              <w:left w:val="nil"/>
              <w:bottom w:val="single" w:sz="4" w:space="0" w:color="auto"/>
              <w:right w:val="single" w:sz="4" w:space="0" w:color="auto"/>
            </w:tcBorders>
            <w:shd w:val="clear" w:color="auto" w:fill="auto"/>
            <w:vAlign w:val="center"/>
            <w:hideMark/>
          </w:tcPr>
          <w:p w14:paraId="6C04D5E9" w14:textId="77777777" w:rsidR="005764BB" w:rsidRPr="005764BB" w:rsidRDefault="005764BB" w:rsidP="005764BB">
            <w:pPr>
              <w:spacing w:after="0" w:line="240" w:lineRule="auto"/>
              <w:jc w:val="center"/>
              <w:rPr>
                <w:rFonts w:eastAsia="Times New Roman" w:cs="Times New Roman"/>
                <w:color w:val="000000"/>
                <w:sz w:val="20"/>
                <w:szCs w:val="20"/>
                <w:lang w:eastAsia="en-GB"/>
              </w:rPr>
            </w:pPr>
            <w:r w:rsidRPr="005764BB">
              <w:rPr>
                <w:rFonts w:eastAsia="Times New Roman" w:cs="Times New Roman"/>
                <w:color w:val="000000"/>
                <w:sz w:val="20"/>
                <w:szCs w:val="20"/>
                <w:lang w:eastAsia="en-GB"/>
              </w:rPr>
              <w:t>There is a reasonable level of assurance that processes and procedures are in place and are delivering data protection compliance. The audit has identified some scope for improvement in existing arrangements to reduce the risk of non-compliance with data protection legislation.</w:t>
            </w:r>
          </w:p>
        </w:tc>
      </w:tr>
      <w:tr w:rsidR="005764BB" w:rsidRPr="005764BB" w14:paraId="4037C1A2" w14:textId="77777777" w:rsidTr="005764BB">
        <w:trPr>
          <w:trHeight w:val="1410"/>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643B1721" w14:textId="77777777" w:rsidR="005764BB" w:rsidRPr="005764BB" w:rsidRDefault="005764BB" w:rsidP="005764BB">
            <w:pPr>
              <w:spacing w:after="0" w:line="240" w:lineRule="auto"/>
              <w:jc w:val="center"/>
              <w:rPr>
                <w:rFonts w:eastAsia="Times New Roman" w:cs="Times New Roman"/>
                <w:color w:val="000000"/>
                <w:lang w:eastAsia="en-GB"/>
              </w:rPr>
            </w:pPr>
            <w:r w:rsidRPr="005764BB">
              <w:rPr>
                <w:rFonts w:eastAsia="Times New Roman" w:cs="Times New Roman"/>
                <w:color w:val="000000"/>
                <w:lang w:eastAsia="en-GB"/>
              </w:rPr>
              <w:t xml:space="preserve">Security of Personal Data </w:t>
            </w:r>
          </w:p>
        </w:tc>
        <w:tc>
          <w:tcPr>
            <w:tcW w:w="3340" w:type="dxa"/>
            <w:tcBorders>
              <w:top w:val="nil"/>
              <w:left w:val="nil"/>
              <w:bottom w:val="single" w:sz="4" w:space="0" w:color="auto"/>
              <w:right w:val="single" w:sz="4" w:space="0" w:color="auto"/>
            </w:tcBorders>
            <w:shd w:val="clear" w:color="000000" w:fill="00B050"/>
            <w:noWrap/>
            <w:vAlign w:val="center"/>
            <w:hideMark/>
          </w:tcPr>
          <w:p w14:paraId="49F3386F" w14:textId="77777777" w:rsidR="005764BB" w:rsidRPr="005764BB" w:rsidRDefault="005764BB" w:rsidP="005764BB">
            <w:pPr>
              <w:spacing w:after="0" w:line="240" w:lineRule="auto"/>
              <w:jc w:val="center"/>
              <w:rPr>
                <w:rFonts w:eastAsia="Times New Roman" w:cs="Times New Roman"/>
                <w:color w:val="000000"/>
                <w:lang w:eastAsia="en-GB"/>
              </w:rPr>
            </w:pPr>
            <w:r w:rsidRPr="005764BB">
              <w:rPr>
                <w:rFonts w:eastAsia="Times New Roman" w:cs="Times New Roman"/>
                <w:color w:val="000000"/>
                <w:lang w:eastAsia="en-GB"/>
              </w:rPr>
              <w:t>High</w:t>
            </w:r>
          </w:p>
        </w:tc>
        <w:tc>
          <w:tcPr>
            <w:tcW w:w="6880" w:type="dxa"/>
            <w:tcBorders>
              <w:top w:val="nil"/>
              <w:left w:val="nil"/>
              <w:bottom w:val="single" w:sz="4" w:space="0" w:color="auto"/>
              <w:right w:val="single" w:sz="4" w:space="0" w:color="auto"/>
            </w:tcBorders>
            <w:shd w:val="clear" w:color="auto" w:fill="auto"/>
            <w:vAlign w:val="center"/>
            <w:hideMark/>
          </w:tcPr>
          <w:p w14:paraId="12C8E64D" w14:textId="77777777" w:rsidR="005764BB" w:rsidRPr="005764BB" w:rsidRDefault="005764BB" w:rsidP="005764BB">
            <w:pPr>
              <w:spacing w:after="0" w:line="240" w:lineRule="auto"/>
              <w:jc w:val="center"/>
              <w:rPr>
                <w:rFonts w:eastAsia="Times New Roman" w:cs="Times New Roman"/>
                <w:color w:val="000000"/>
                <w:sz w:val="20"/>
                <w:szCs w:val="20"/>
                <w:lang w:eastAsia="en-GB"/>
              </w:rPr>
            </w:pPr>
            <w:r w:rsidRPr="005764BB">
              <w:rPr>
                <w:rFonts w:eastAsia="Times New Roman" w:cs="Times New Roman"/>
                <w:color w:val="000000"/>
                <w:sz w:val="20"/>
                <w:szCs w:val="20"/>
                <w:lang w:eastAsia="en-GB"/>
              </w:rPr>
              <w:t>There is a high level of assurance that processes and procedures are in place and are delivering data protection compliance. The audit has identified only limited scope for improvement in existing arrangements and as such it is not anticipated that significant further action is required to reduce the risk of non-compliance with data protection legislation.</w:t>
            </w:r>
          </w:p>
        </w:tc>
      </w:tr>
      <w:tr w:rsidR="005764BB" w:rsidRPr="005764BB" w14:paraId="0C4E7740" w14:textId="77777777" w:rsidTr="005764BB">
        <w:trPr>
          <w:trHeight w:val="1425"/>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360C3D64" w14:textId="77777777" w:rsidR="005764BB" w:rsidRPr="005764BB" w:rsidRDefault="005764BB" w:rsidP="005764BB">
            <w:pPr>
              <w:spacing w:after="0" w:line="240" w:lineRule="auto"/>
              <w:jc w:val="center"/>
              <w:rPr>
                <w:rFonts w:eastAsia="Times New Roman" w:cs="Times New Roman"/>
                <w:color w:val="000000"/>
                <w:lang w:eastAsia="en-GB"/>
              </w:rPr>
            </w:pPr>
            <w:r w:rsidRPr="005764BB">
              <w:rPr>
                <w:rFonts w:eastAsia="Times New Roman" w:cs="Times New Roman"/>
                <w:color w:val="000000"/>
                <w:lang w:eastAsia="en-GB"/>
              </w:rPr>
              <w:t>Data Sharing</w:t>
            </w:r>
          </w:p>
        </w:tc>
        <w:tc>
          <w:tcPr>
            <w:tcW w:w="33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E9C017E" w14:textId="77777777" w:rsidR="005764BB" w:rsidRPr="005764BB" w:rsidRDefault="005764BB" w:rsidP="005764BB">
            <w:pPr>
              <w:spacing w:after="0" w:line="240" w:lineRule="auto"/>
              <w:jc w:val="center"/>
              <w:rPr>
                <w:rFonts w:eastAsia="Times New Roman" w:cs="Times New Roman"/>
                <w:color w:val="000000"/>
                <w:lang w:eastAsia="en-GB"/>
              </w:rPr>
            </w:pPr>
            <w:r w:rsidRPr="005764BB">
              <w:rPr>
                <w:rFonts w:eastAsia="Times New Roman" w:cs="Times New Roman"/>
                <w:color w:val="000000"/>
                <w:lang w:eastAsia="en-GB"/>
              </w:rPr>
              <w:t>Reasonable</w:t>
            </w:r>
          </w:p>
        </w:tc>
        <w:tc>
          <w:tcPr>
            <w:tcW w:w="6880" w:type="dxa"/>
            <w:tcBorders>
              <w:top w:val="nil"/>
              <w:left w:val="nil"/>
              <w:bottom w:val="single" w:sz="4" w:space="0" w:color="auto"/>
              <w:right w:val="single" w:sz="4" w:space="0" w:color="auto"/>
            </w:tcBorders>
            <w:shd w:val="clear" w:color="auto" w:fill="auto"/>
            <w:vAlign w:val="center"/>
            <w:hideMark/>
          </w:tcPr>
          <w:p w14:paraId="11F20249" w14:textId="77777777" w:rsidR="005764BB" w:rsidRPr="005764BB" w:rsidRDefault="005764BB" w:rsidP="005764BB">
            <w:pPr>
              <w:spacing w:after="0" w:line="240" w:lineRule="auto"/>
              <w:jc w:val="center"/>
              <w:rPr>
                <w:rFonts w:eastAsia="Times New Roman" w:cs="Times New Roman"/>
                <w:color w:val="000000"/>
                <w:sz w:val="20"/>
                <w:szCs w:val="20"/>
                <w:lang w:eastAsia="en-GB"/>
              </w:rPr>
            </w:pPr>
            <w:r w:rsidRPr="005764BB">
              <w:rPr>
                <w:rFonts w:eastAsia="Times New Roman" w:cs="Times New Roman"/>
                <w:color w:val="000000"/>
                <w:sz w:val="20"/>
                <w:szCs w:val="20"/>
                <w:lang w:eastAsia="en-GB"/>
              </w:rPr>
              <w:t>There is a reasonable level of assurance that processes and procedures are in place and are delivering data protection compliance. The audit has identified some scope for improvement in existing arrangements to reduce the risk of non-compliance with data protection legislation.</w:t>
            </w:r>
          </w:p>
        </w:tc>
      </w:tr>
    </w:tbl>
    <w:p w14:paraId="0525CDB0" w14:textId="77777777" w:rsidR="0032057B" w:rsidRDefault="0032057B" w:rsidP="0032057B"/>
    <w:p w14:paraId="165083F3" w14:textId="77777777" w:rsidR="0032057B" w:rsidRDefault="0032057B" w:rsidP="0032057B">
      <w:pPr>
        <w:rPr>
          <w:rFonts w:ascii="Georgia" w:hAnsi="Georgia"/>
          <w:color w:val="4F81BD" w:themeColor="accent1"/>
          <w:sz w:val="36"/>
          <w:szCs w:val="36"/>
        </w:rPr>
      </w:pPr>
      <w:r w:rsidRPr="0032057B">
        <w:rPr>
          <w:rFonts w:ascii="Georgia" w:hAnsi="Georgia"/>
          <w:color w:val="4F81BD" w:themeColor="accent1"/>
          <w:sz w:val="36"/>
          <w:szCs w:val="36"/>
        </w:rPr>
        <w:t>Priority Recommendations</w:t>
      </w:r>
    </w:p>
    <w:p w14:paraId="653C18F5" w14:textId="77777777" w:rsidR="00167D8F" w:rsidRDefault="00167D8F" w:rsidP="0032057B">
      <w:pPr>
        <w:rPr>
          <w:rFonts w:ascii="Georgia" w:hAnsi="Georgia"/>
          <w:color w:val="4F81BD" w:themeColor="accent1"/>
          <w:sz w:val="36"/>
          <w:szCs w:val="36"/>
        </w:rPr>
      </w:pPr>
    </w:p>
    <w:p w14:paraId="68E05864" w14:textId="234A0CCA" w:rsidR="00C063C0" w:rsidRDefault="00C063C0" w:rsidP="004A6994">
      <w:pPr>
        <w:jc w:val="center"/>
        <w:rPr>
          <w:rFonts w:ascii="Georgia" w:hAnsi="Georgia"/>
          <w:color w:val="4F81BD" w:themeColor="accent1"/>
          <w:sz w:val="36"/>
          <w:szCs w:val="36"/>
        </w:rPr>
      </w:pPr>
    </w:p>
    <w:p w14:paraId="01ABF4AF" w14:textId="275EE03C" w:rsidR="00C063C0" w:rsidRDefault="000370E5" w:rsidP="00551887">
      <w:pPr>
        <w:jc w:val="center"/>
        <w:rPr>
          <w:rFonts w:ascii="Georgia" w:hAnsi="Georgia"/>
          <w:color w:val="4F81BD" w:themeColor="accent1"/>
          <w:sz w:val="36"/>
          <w:szCs w:val="36"/>
        </w:rPr>
      </w:pPr>
      <w:r>
        <w:rPr>
          <w:noProof/>
          <w:lang w:eastAsia="en-GB"/>
        </w:rPr>
        <w:drawing>
          <wp:inline distT="0" distB="0" distL="0" distR="0" wp14:anchorId="7DCD3190" wp14:editId="5C051C06">
            <wp:extent cx="5429250" cy="32956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D696D2" w14:textId="77777777" w:rsidR="00C063C0" w:rsidRDefault="00C063C0" w:rsidP="0032057B">
      <w:pPr>
        <w:rPr>
          <w:rFonts w:ascii="Georgia" w:hAnsi="Georgia"/>
          <w:color w:val="4F81BD" w:themeColor="accent1"/>
          <w:sz w:val="36"/>
          <w:szCs w:val="36"/>
        </w:rPr>
      </w:pPr>
    </w:p>
    <w:p w14:paraId="0F64C771" w14:textId="04F3BFD5" w:rsidR="00C063C0" w:rsidRPr="0032057B" w:rsidRDefault="00C063C0" w:rsidP="0032057B">
      <w:pPr>
        <w:rPr>
          <w:rFonts w:ascii="Georgia" w:hAnsi="Georgia"/>
          <w:color w:val="4F81BD" w:themeColor="accent1"/>
          <w:sz w:val="36"/>
          <w:szCs w:val="36"/>
        </w:rPr>
      </w:pPr>
    </w:p>
    <w:p w14:paraId="722162C1" w14:textId="77777777" w:rsidR="0032057B" w:rsidRDefault="0032057B" w:rsidP="0032057B">
      <w:pPr>
        <w:rPr>
          <w:rFonts w:ascii="Georgia" w:hAnsi="Georgia"/>
          <w:color w:val="4F81BD" w:themeColor="accent1"/>
          <w:sz w:val="36"/>
          <w:szCs w:val="36"/>
        </w:rPr>
      </w:pPr>
      <w:r w:rsidRPr="0032057B">
        <w:rPr>
          <w:rFonts w:ascii="Georgia" w:hAnsi="Georgia"/>
          <w:color w:val="4F81BD" w:themeColor="accent1"/>
          <w:sz w:val="36"/>
          <w:szCs w:val="36"/>
        </w:rPr>
        <w:t>Graphs and Charts</w:t>
      </w:r>
    </w:p>
    <w:p w14:paraId="37AF37E7" w14:textId="77777777" w:rsidR="00551887" w:rsidRPr="0032057B" w:rsidRDefault="00551887" w:rsidP="0032057B">
      <w:pPr>
        <w:rPr>
          <w:rFonts w:ascii="Georgia" w:hAnsi="Georgia"/>
          <w:color w:val="4F81BD" w:themeColor="accent1"/>
          <w:sz w:val="36"/>
          <w:szCs w:val="36"/>
        </w:rPr>
      </w:pPr>
    </w:p>
    <w:p w14:paraId="29A91B4C" w14:textId="2A42F19F" w:rsidR="00E17DE7" w:rsidRDefault="00626137" w:rsidP="004A6994">
      <w:pPr>
        <w:tabs>
          <w:tab w:val="left" w:pos="8670"/>
        </w:tabs>
        <w:jc w:val="center"/>
        <w:rPr>
          <w:color w:val="FF0000"/>
        </w:rPr>
      </w:pPr>
      <w:r>
        <w:rPr>
          <w:noProof/>
          <w:lang w:eastAsia="en-GB"/>
        </w:rPr>
        <w:drawing>
          <wp:inline distT="0" distB="0" distL="0" distR="0" wp14:anchorId="4EFEA1AD" wp14:editId="5E0B2A58">
            <wp:extent cx="3067050" cy="2295524"/>
            <wp:effectExtent l="0" t="0" r="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C6EB8">
        <w:rPr>
          <w:noProof/>
          <w:lang w:eastAsia="en-GB"/>
        </w:rPr>
        <w:drawing>
          <wp:inline distT="0" distB="0" distL="0" distR="0" wp14:anchorId="4FD932B8" wp14:editId="5A7B8FA3">
            <wp:extent cx="3057524" cy="2295525"/>
            <wp:effectExtent l="0" t="0" r="1016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6C6EB8">
        <w:rPr>
          <w:noProof/>
          <w:lang w:eastAsia="en-GB"/>
        </w:rPr>
        <w:drawing>
          <wp:inline distT="0" distB="0" distL="0" distR="0" wp14:anchorId="00760083" wp14:editId="49FE5211">
            <wp:extent cx="3057525" cy="2295524"/>
            <wp:effectExtent l="0" t="0" r="9525"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7167AA" w14:textId="77777777" w:rsidR="00D747A4" w:rsidRDefault="00D747A4" w:rsidP="00250A59">
      <w:pPr>
        <w:rPr>
          <w:color w:val="FF0000"/>
        </w:rPr>
      </w:pPr>
    </w:p>
    <w:p w14:paraId="0503A462" w14:textId="59DAD19C" w:rsidR="00A2169E" w:rsidRDefault="00A2169E" w:rsidP="00250A59">
      <w:pPr>
        <w:rPr>
          <w:color w:val="FF0000"/>
        </w:rPr>
      </w:pPr>
    </w:p>
    <w:p w14:paraId="48F95572" w14:textId="204FC52A" w:rsidR="00820514" w:rsidRDefault="00820514" w:rsidP="00250A59">
      <w:pPr>
        <w:rPr>
          <w:rFonts w:ascii="Georgia" w:hAnsi="Georgia"/>
          <w:color w:val="4F81BD" w:themeColor="accent1"/>
          <w:sz w:val="36"/>
          <w:szCs w:val="36"/>
        </w:rPr>
      </w:pPr>
      <w:r w:rsidRPr="00820514">
        <w:rPr>
          <w:rFonts w:ascii="Georgia" w:hAnsi="Georgia"/>
          <w:color w:val="4F81BD" w:themeColor="accent1"/>
          <w:sz w:val="36"/>
          <w:szCs w:val="36"/>
        </w:rPr>
        <w:t>Areas for Improvement</w:t>
      </w:r>
    </w:p>
    <w:p w14:paraId="2250FBEA" w14:textId="77777777" w:rsidR="003967D9" w:rsidRPr="003967D9" w:rsidRDefault="003967D9" w:rsidP="003967D9">
      <w:pPr>
        <w:rPr>
          <w:color w:val="000000" w:themeColor="text1"/>
          <w:sz w:val="24"/>
          <w:szCs w:val="24"/>
        </w:rPr>
      </w:pPr>
      <w:r w:rsidRPr="003967D9">
        <w:rPr>
          <w:color w:val="000000" w:themeColor="text1"/>
          <w:sz w:val="24"/>
          <w:szCs w:val="24"/>
        </w:rPr>
        <w:t>DC have a newly formed Strategic Information Management Board (SIMB) which is yet to define how key enabling boards effectively communicate information risks to the SIMB.</w:t>
      </w:r>
    </w:p>
    <w:p w14:paraId="136722DC" w14:textId="2118E6EE" w:rsidR="003967D9" w:rsidRPr="003967D9" w:rsidRDefault="003967D9" w:rsidP="003967D9">
      <w:pPr>
        <w:rPr>
          <w:color w:val="000000" w:themeColor="text1"/>
          <w:sz w:val="24"/>
          <w:szCs w:val="24"/>
        </w:rPr>
      </w:pPr>
      <w:r w:rsidRPr="003967D9">
        <w:rPr>
          <w:color w:val="000000" w:themeColor="text1"/>
          <w:sz w:val="24"/>
          <w:szCs w:val="24"/>
        </w:rPr>
        <w:t xml:space="preserve">The corporate risk register contains generic risks around data protection reform and needs to be fully populated with </w:t>
      </w:r>
      <w:r w:rsidR="00236A1D">
        <w:rPr>
          <w:color w:val="000000" w:themeColor="text1"/>
          <w:sz w:val="24"/>
          <w:szCs w:val="24"/>
        </w:rPr>
        <w:t xml:space="preserve">details of the </w:t>
      </w:r>
      <w:r w:rsidRPr="003967D9">
        <w:rPr>
          <w:color w:val="000000" w:themeColor="text1"/>
          <w:sz w:val="24"/>
          <w:szCs w:val="24"/>
        </w:rPr>
        <w:t>information risks discussed and agreed via the SIMB.</w:t>
      </w:r>
      <w:r w:rsidR="00236A1D">
        <w:rPr>
          <w:color w:val="000000" w:themeColor="text1"/>
          <w:sz w:val="24"/>
          <w:szCs w:val="24"/>
        </w:rPr>
        <w:t xml:space="preserve"> This will enable the information risks identified to be managed appropriately. </w:t>
      </w:r>
    </w:p>
    <w:p w14:paraId="7FF52E0D" w14:textId="33DA98FE" w:rsidR="003967D9" w:rsidRPr="003967D9" w:rsidRDefault="003967D9" w:rsidP="003967D9">
      <w:pPr>
        <w:rPr>
          <w:color w:val="000000" w:themeColor="text1"/>
          <w:sz w:val="24"/>
          <w:szCs w:val="24"/>
        </w:rPr>
      </w:pPr>
      <w:r w:rsidRPr="003967D9">
        <w:rPr>
          <w:color w:val="000000" w:themeColor="text1"/>
          <w:sz w:val="24"/>
          <w:szCs w:val="24"/>
        </w:rPr>
        <w:t>DC</w:t>
      </w:r>
      <w:r w:rsidR="00236A1D">
        <w:rPr>
          <w:color w:val="000000" w:themeColor="text1"/>
          <w:sz w:val="24"/>
          <w:szCs w:val="24"/>
        </w:rPr>
        <w:t xml:space="preserve"> are in the process of updating their Inf</w:t>
      </w:r>
      <w:r w:rsidRPr="003967D9">
        <w:rPr>
          <w:color w:val="000000" w:themeColor="text1"/>
          <w:sz w:val="24"/>
          <w:szCs w:val="24"/>
        </w:rPr>
        <w:t>ormation Asset Register</w:t>
      </w:r>
      <w:r w:rsidR="00BC065B">
        <w:rPr>
          <w:color w:val="000000" w:themeColor="text1"/>
          <w:sz w:val="24"/>
          <w:szCs w:val="24"/>
        </w:rPr>
        <w:t xml:space="preserve"> (IAR)</w:t>
      </w:r>
      <w:r w:rsidR="00236A1D">
        <w:rPr>
          <w:color w:val="000000" w:themeColor="text1"/>
          <w:sz w:val="24"/>
          <w:szCs w:val="24"/>
        </w:rPr>
        <w:t>. Th</w:t>
      </w:r>
      <w:r w:rsidR="00F65D4D">
        <w:rPr>
          <w:color w:val="000000" w:themeColor="text1"/>
          <w:sz w:val="24"/>
          <w:szCs w:val="24"/>
        </w:rPr>
        <w:t xml:space="preserve">e information flow mapping currently being undertaken </w:t>
      </w:r>
      <w:r w:rsidR="00236A1D">
        <w:rPr>
          <w:color w:val="000000" w:themeColor="text1"/>
          <w:sz w:val="24"/>
          <w:szCs w:val="24"/>
        </w:rPr>
        <w:t xml:space="preserve">needs to be finalised </w:t>
      </w:r>
      <w:r w:rsidR="00F65D4D">
        <w:rPr>
          <w:color w:val="000000" w:themeColor="text1"/>
          <w:sz w:val="24"/>
          <w:szCs w:val="24"/>
        </w:rPr>
        <w:t xml:space="preserve">to ensure that </w:t>
      </w:r>
      <w:r w:rsidR="00F65D4D">
        <w:rPr>
          <w:color w:val="000000" w:themeColor="text1"/>
          <w:sz w:val="24"/>
          <w:szCs w:val="24"/>
        </w:rPr>
        <w:lastRenderedPageBreak/>
        <w:t xml:space="preserve">they have an accurate record of </w:t>
      </w:r>
      <w:r w:rsidRPr="003967D9">
        <w:rPr>
          <w:color w:val="000000" w:themeColor="text1"/>
          <w:sz w:val="24"/>
          <w:szCs w:val="24"/>
        </w:rPr>
        <w:t>all</w:t>
      </w:r>
      <w:r w:rsidR="00F65D4D">
        <w:rPr>
          <w:color w:val="000000" w:themeColor="text1"/>
          <w:sz w:val="24"/>
          <w:szCs w:val="24"/>
        </w:rPr>
        <w:t xml:space="preserve"> data</w:t>
      </w:r>
      <w:r w:rsidRPr="003967D9">
        <w:rPr>
          <w:color w:val="000000" w:themeColor="text1"/>
          <w:sz w:val="24"/>
          <w:szCs w:val="24"/>
        </w:rPr>
        <w:t xml:space="preserve"> processing activities as </w:t>
      </w:r>
      <w:r w:rsidR="00F65D4D">
        <w:rPr>
          <w:color w:val="000000" w:themeColor="text1"/>
          <w:sz w:val="24"/>
          <w:szCs w:val="24"/>
        </w:rPr>
        <w:t>required by GDPR/DPA18.</w:t>
      </w:r>
    </w:p>
    <w:p w14:paraId="738E6304" w14:textId="77777777" w:rsidR="003967D9" w:rsidRDefault="003967D9" w:rsidP="003967D9">
      <w:pPr>
        <w:rPr>
          <w:color w:val="000000" w:themeColor="text1"/>
          <w:sz w:val="24"/>
          <w:szCs w:val="24"/>
        </w:rPr>
      </w:pPr>
      <w:r w:rsidRPr="003967D9">
        <w:rPr>
          <w:color w:val="000000" w:themeColor="text1"/>
          <w:sz w:val="24"/>
          <w:szCs w:val="24"/>
        </w:rPr>
        <w:t>The completion records for data protection training are inaccurate and there is no assurance for DC that all staff have understood and are aware of their data protection responsibilities.</w:t>
      </w:r>
    </w:p>
    <w:p w14:paraId="73382473" w14:textId="53CE4C96" w:rsidR="003967D9" w:rsidRPr="00236A1D" w:rsidRDefault="003967D9" w:rsidP="003967D9">
      <w:pPr>
        <w:rPr>
          <w:rFonts w:eastAsia="Times New Roman" w:cs="Times New Roman"/>
          <w:color w:val="000000"/>
          <w:sz w:val="24"/>
          <w:szCs w:val="24"/>
          <w:lang w:eastAsia="en-GB"/>
        </w:rPr>
      </w:pPr>
      <w:r w:rsidRPr="00236A1D">
        <w:rPr>
          <w:color w:val="000000" w:themeColor="text1"/>
          <w:sz w:val="24"/>
          <w:szCs w:val="24"/>
        </w:rPr>
        <w:t xml:space="preserve">Specialist training </w:t>
      </w:r>
      <w:r w:rsidR="00236A1D">
        <w:rPr>
          <w:color w:val="000000" w:themeColor="text1"/>
          <w:sz w:val="24"/>
          <w:szCs w:val="24"/>
        </w:rPr>
        <w:t>should be</w:t>
      </w:r>
      <w:r w:rsidRPr="00236A1D">
        <w:rPr>
          <w:color w:val="000000" w:themeColor="text1"/>
          <w:sz w:val="24"/>
          <w:szCs w:val="24"/>
        </w:rPr>
        <w:t xml:space="preserve"> mandatory for Information Asset Owners</w:t>
      </w:r>
      <w:r w:rsidR="00236A1D" w:rsidRPr="00236A1D">
        <w:rPr>
          <w:color w:val="000000" w:themeColor="text1"/>
          <w:sz w:val="24"/>
          <w:szCs w:val="24"/>
        </w:rPr>
        <w:t xml:space="preserve"> (IAOs)</w:t>
      </w:r>
      <w:r w:rsidRPr="00236A1D">
        <w:rPr>
          <w:color w:val="000000" w:themeColor="text1"/>
          <w:sz w:val="24"/>
          <w:szCs w:val="24"/>
        </w:rPr>
        <w:t xml:space="preserve"> who have additional data protection responsibilities. </w:t>
      </w:r>
      <w:r w:rsidR="00236A1D">
        <w:rPr>
          <w:color w:val="000000" w:themeColor="text1"/>
          <w:sz w:val="24"/>
          <w:szCs w:val="24"/>
        </w:rPr>
        <w:t>This</w:t>
      </w:r>
      <w:r w:rsidR="00236A1D" w:rsidRPr="00236A1D">
        <w:rPr>
          <w:color w:val="000000" w:themeColor="text1"/>
          <w:sz w:val="24"/>
          <w:szCs w:val="24"/>
        </w:rPr>
        <w:t xml:space="preserve"> </w:t>
      </w:r>
      <w:r w:rsidRPr="00236A1D">
        <w:rPr>
          <w:rFonts w:eastAsia="Times New Roman" w:cs="Times New Roman"/>
          <w:color w:val="000000"/>
          <w:sz w:val="24"/>
          <w:szCs w:val="24"/>
          <w:lang w:eastAsia="en-GB"/>
        </w:rPr>
        <w:t xml:space="preserve">will ensure that </w:t>
      </w:r>
      <w:r w:rsidR="00236A1D" w:rsidRPr="00236A1D">
        <w:rPr>
          <w:rFonts w:eastAsia="Times New Roman" w:cs="Times New Roman"/>
          <w:color w:val="000000"/>
          <w:sz w:val="24"/>
          <w:szCs w:val="24"/>
          <w:lang w:eastAsia="en-GB"/>
        </w:rPr>
        <w:t xml:space="preserve">IAOs </w:t>
      </w:r>
      <w:r w:rsidRPr="00236A1D">
        <w:rPr>
          <w:rFonts w:eastAsia="Times New Roman" w:cs="Times New Roman"/>
          <w:color w:val="000000"/>
          <w:sz w:val="24"/>
          <w:szCs w:val="24"/>
          <w:lang w:eastAsia="en-GB"/>
        </w:rPr>
        <w:t xml:space="preserve">are aware of the requirements of their roles and </w:t>
      </w:r>
      <w:r w:rsidR="00236A1D" w:rsidRPr="00236A1D">
        <w:rPr>
          <w:rFonts w:eastAsia="Times New Roman" w:cs="Times New Roman"/>
          <w:color w:val="000000"/>
          <w:sz w:val="24"/>
          <w:szCs w:val="24"/>
          <w:lang w:eastAsia="en-GB"/>
        </w:rPr>
        <w:t>that their</w:t>
      </w:r>
      <w:r w:rsidR="00236A1D">
        <w:rPr>
          <w:rFonts w:eastAsia="Times New Roman" w:cs="Times New Roman"/>
          <w:color w:val="000000"/>
          <w:sz w:val="24"/>
          <w:szCs w:val="24"/>
          <w:lang w:eastAsia="en-GB"/>
        </w:rPr>
        <w:t xml:space="preserve"> </w:t>
      </w:r>
      <w:r w:rsidRPr="00236A1D">
        <w:rPr>
          <w:rFonts w:eastAsia="Times New Roman" w:cs="Times New Roman"/>
          <w:color w:val="000000"/>
          <w:sz w:val="24"/>
          <w:szCs w:val="24"/>
          <w:lang w:eastAsia="en-GB"/>
        </w:rPr>
        <w:t>information assets are handled and managed appropriately.</w:t>
      </w:r>
    </w:p>
    <w:p w14:paraId="32FAEBC4" w14:textId="38438C61" w:rsidR="006A011B" w:rsidRPr="003967D9" w:rsidRDefault="006A011B" w:rsidP="006A011B">
      <w:pPr>
        <w:spacing w:after="0" w:line="240" w:lineRule="auto"/>
        <w:rPr>
          <w:color w:val="000000" w:themeColor="text1"/>
          <w:sz w:val="24"/>
          <w:szCs w:val="24"/>
        </w:rPr>
      </w:pPr>
      <w:r w:rsidRPr="003967D9">
        <w:rPr>
          <w:color w:val="000000" w:themeColor="text1"/>
          <w:sz w:val="24"/>
          <w:szCs w:val="24"/>
        </w:rPr>
        <w:t>D</w:t>
      </w:r>
      <w:r w:rsidR="00D44EDA" w:rsidRPr="003967D9">
        <w:rPr>
          <w:color w:val="000000" w:themeColor="text1"/>
          <w:sz w:val="24"/>
          <w:szCs w:val="24"/>
        </w:rPr>
        <w:t>C</w:t>
      </w:r>
      <w:r w:rsidRPr="003967D9">
        <w:rPr>
          <w:color w:val="000000" w:themeColor="text1"/>
          <w:sz w:val="24"/>
          <w:szCs w:val="24"/>
        </w:rPr>
        <w:t xml:space="preserve"> carry out risk assessments on new systems or when there is a change to the system. Risk assessments for all hardware and software assets are not regularly conducted. A log of the devices that have not connected to the network are kept; however physical checks to ensure the accuracy of the hardware asset inventory are not conducted. </w:t>
      </w:r>
    </w:p>
    <w:p w14:paraId="65C1DE42" w14:textId="77777777" w:rsidR="00D44EDA" w:rsidRPr="003967D9" w:rsidRDefault="00D44EDA" w:rsidP="006A011B">
      <w:pPr>
        <w:spacing w:after="0" w:line="240" w:lineRule="auto"/>
        <w:rPr>
          <w:color w:val="000000" w:themeColor="text1"/>
          <w:sz w:val="24"/>
          <w:szCs w:val="24"/>
        </w:rPr>
      </w:pPr>
    </w:p>
    <w:p w14:paraId="5F339724" w14:textId="417CA48F" w:rsidR="006A011B" w:rsidRPr="003967D9" w:rsidRDefault="006A011B" w:rsidP="006A011B">
      <w:pPr>
        <w:spacing w:after="0" w:line="240" w:lineRule="auto"/>
        <w:rPr>
          <w:color w:val="000000" w:themeColor="text1"/>
          <w:sz w:val="24"/>
          <w:szCs w:val="24"/>
        </w:rPr>
      </w:pPr>
      <w:r w:rsidRPr="003967D9">
        <w:rPr>
          <w:color w:val="000000" w:themeColor="text1"/>
          <w:sz w:val="24"/>
          <w:szCs w:val="24"/>
        </w:rPr>
        <w:t xml:space="preserve">It was reported that line managers are responsible </w:t>
      </w:r>
      <w:r w:rsidR="00D44EDA" w:rsidRPr="003967D9">
        <w:rPr>
          <w:color w:val="000000" w:themeColor="text1"/>
          <w:sz w:val="24"/>
          <w:szCs w:val="24"/>
        </w:rPr>
        <w:t>for ensuring that staff changing roles</w:t>
      </w:r>
      <w:r w:rsidRPr="003967D9">
        <w:rPr>
          <w:color w:val="000000" w:themeColor="text1"/>
          <w:sz w:val="24"/>
          <w:szCs w:val="24"/>
        </w:rPr>
        <w:t xml:space="preserve"> only have access to systems/drives/ folders rel</w:t>
      </w:r>
      <w:r w:rsidR="00D44EDA" w:rsidRPr="003967D9">
        <w:rPr>
          <w:color w:val="000000" w:themeColor="text1"/>
          <w:sz w:val="24"/>
          <w:szCs w:val="24"/>
        </w:rPr>
        <w:t xml:space="preserve">evant to </w:t>
      </w:r>
      <w:r w:rsidRPr="003967D9">
        <w:rPr>
          <w:color w:val="000000" w:themeColor="text1"/>
          <w:sz w:val="24"/>
          <w:szCs w:val="24"/>
        </w:rPr>
        <w:t xml:space="preserve">their </w:t>
      </w:r>
      <w:r w:rsidR="00D44EDA" w:rsidRPr="003967D9">
        <w:rPr>
          <w:color w:val="000000" w:themeColor="text1"/>
          <w:sz w:val="24"/>
          <w:szCs w:val="24"/>
        </w:rPr>
        <w:t xml:space="preserve">new </w:t>
      </w:r>
      <w:r w:rsidRPr="003967D9">
        <w:rPr>
          <w:color w:val="000000" w:themeColor="text1"/>
          <w:sz w:val="24"/>
          <w:szCs w:val="24"/>
        </w:rPr>
        <w:t xml:space="preserve">role. Regular reviews, or checks of user access rights are not undertaken to ensure that the access rights are appropriately updated. There is therefore a risk that employees could retain access to information that they no longer need. </w:t>
      </w:r>
    </w:p>
    <w:p w14:paraId="597881C9" w14:textId="77777777" w:rsidR="00D44EDA" w:rsidRPr="003967D9" w:rsidRDefault="00D44EDA" w:rsidP="006A011B">
      <w:pPr>
        <w:spacing w:after="0" w:line="240" w:lineRule="auto"/>
        <w:rPr>
          <w:color w:val="000000" w:themeColor="text1"/>
          <w:sz w:val="24"/>
          <w:szCs w:val="24"/>
        </w:rPr>
      </w:pPr>
    </w:p>
    <w:p w14:paraId="593A3138" w14:textId="61C90FED" w:rsidR="006A011B" w:rsidRPr="003967D9" w:rsidRDefault="00D44EDA" w:rsidP="00D44EDA">
      <w:pPr>
        <w:spacing w:after="0" w:line="240" w:lineRule="auto"/>
        <w:rPr>
          <w:color w:val="000000" w:themeColor="text1"/>
          <w:sz w:val="24"/>
          <w:szCs w:val="24"/>
        </w:rPr>
      </w:pPr>
      <w:r w:rsidRPr="003967D9">
        <w:rPr>
          <w:color w:val="000000" w:themeColor="text1"/>
          <w:sz w:val="24"/>
          <w:szCs w:val="24"/>
        </w:rPr>
        <w:t>L</w:t>
      </w:r>
      <w:r w:rsidR="006A011B" w:rsidRPr="003967D9">
        <w:rPr>
          <w:color w:val="000000" w:themeColor="text1"/>
          <w:sz w:val="24"/>
          <w:szCs w:val="24"/>
        </w:rPr>
        <w:t>ine manage</w:t>
      </w:r>
      <w:r w:rsidRPr="003967D9">
        <w:rPr>
          <w:color w:val="000000" w:themeColor="text1"/>
          <w:sz w:val="24"/>
          <w:szCs w:val="24"/>
        </w:rPr>
        <w:t>rs are also responsible for completing</w:t>
      </w:r>
      <w:r w:rsidR="006A011B" w:rsidRPr="003967D9">
        <w:rPr>
          <w:color w:val="000000" w:themeColor="text1"/>
          <w:sz w:val="24"/>
          <w:szCs w:val="24"/>
        </w:rPr>
        <w:t xml:space="preserve"> regular clear desk sweeps or checks and regular compliance reviews of systems and processes within the</w:t>
      </w:r>
      <w:r w:rsidRPr="003967D9">
        <w:rPr>
          <w:color w:val="000000" w:themeColor="text1"/>
          <w:sz w:val="24"/>
          <w:szCs w:val="24"/>
        </w:rPr>
        <w:t>ir</w:t>
      </w:r>
      <w:r w:rsidR="006A011B" w:rsidRPr="003967D9">
        <w:rPr>
          <w:color w:val="000000" w:themeColor="text1"/>
          <w:sz w:val="24"/>
          <w:szCs w:val="24"/>
        </w:rPr>
        <w:t xml:space="preserve"> area of responsibility. However there are no assurances that this takes place across the </w:t>
      </w:r>
      <w:r w:rsidRPr="003967D9">
        <w:rPr>
          <w:color w:val="000000" w:themeColor="text1"/>
          <w:sz w:val="24"/>
          <w:szCs w:val="24"/>
        </w:rPr>
        <w:t>F</w:t>
      </w:r>
      <w:r w:rsidR="006A011B" w:rsidRPr="003967D9">
        <w:rPr>
          <w:color w:val="000000" w:themeColor="text1"/>
          <w:sz w:val="24"/>
          <w:szCs w:val="24"/>
        </w:rPr>
        <w:t xml:space="preserve">orce. </w:t>
      </w:r>
    </w:p>
    <w:p w14:paraId="116959E6" w14:textId="77777777" w:rsidR="00D44EDA" w:rsidRPr="003967D9" w:rsidRDefault="00D44EDA" w:rsidP="00D44EDA">
      <w:pPr>
        <w:spacing w:after="0" w:line="240" w:lineRule="auto"/>
        <w:rPr>
          <w:color w:val="000000" w:themeColor="text1"/>
          <w:sz w:val="24"/>
          <w:szCs w:val="24"/>
        </w:rPr>
      </w:pPr>
    </w:p>
    <w:p w14:paraId="359033E3" w14:textId="615E0232" w:rsidR="00F65D4D" w:rsidRDefault="008729FF" w:rsidP="004A6994">
      <w:pPr>
        <w:spacing w:after="0" w:line="240" w:lineRule="auto"/>
        <w:rPr>
          <w:rFonts w:eastAsia="Times New Roman" w:cs="Times New Roman"/>
          <w:color w:val="000000" w:themeColor="text1"/>
          <w:sz w:val="24"/>
          <w:szCs w:val="24"/>
          <w:lang w:eastAsia="en-GB"/>
        </w:rPr>
      </w:pPr>
      <w:r w:rsidRPr="003967D9">
        <w:rPr>
          <w:rFonts w:eastAsia="Times New Roman" w:cs="Times New Roman"/>
          <w:color w:val="000000" w:themeColor="text1"/>
          <w:sz w:val="24"/>
          <w:szCs w:val="24"/>
          <w:lang w:eastAsia="en-GB"/>
        </w:rPr>
        <w:t xml:space="preserve">DC should review and update the Information Sharing and DP Policies to ensure that they comply with current legislation and are fit for purpose. The policies should contain more high level guidance on how to deal with one-off </w:t>
      </w:r>
      <w:r w:rsidR="00F65D4D">
        <w:rPr>
          <w:rFonts w:eastAsia="Times New Roman" w:cs="Times New Roman"/>
          <w:color w:val="000000" w:themeColor="text1"/>
          <w:sz w:val="24"/>
          <w:szCs w:val="24"/>
          <w:lang w:eastAsia="en-GB"/>
        </w:rPr>
        <w:t xml:space="preserve">personal data </w:t>
      </w:r>
      <w:r w:rsidRPr="003967D9">
        <w:rPr>
          <w:rFonts w:eastAsia="Times New Roman" w:cs="Times New Roman"/>
          <w:color w:val="000000" w:themeColor="text1"/>
          <w:sz w:val="24"/>
          <w:szCs w:val="24"/>
          <w:lang w:eastAsia="en-GB"/>
        </w:rPr>
        <w:t>disclosures.</w:t>
      </w:r>
    </w:p>
    <w:p w14:paraId="644CA6F6" w14:textId="77777777" w:rsidR="004A6994" w:rsidRDefault="004A6994" w:rsidP="004A6994">
      <w:pPr>
        <w:spacing w:after="0" w:line="240" w:lineRule="auto"/>
        <w:rPr>
          <w:color w:val="000000" w:themeColor="text1"/>
          <w:sz w:val="24"/>
          <w:szCs w:val="24"/>
        </w:rPr>
      </w:pPr>
    </w:p>
    <w:p w14:paraId="7E78E7CA" w14:textId="09400CA7" w:rsidR="00627F01" w:rsidRPr="003967D9" w:rsidRDefault="00627F01" w:rsidP="00627F01">
      <w:pPr>
        <w:rPr>
          <w:rFonts w:eastAsia="Times New Roman" w:cs="Times New Roman"/>
          <w:color w:val="000000" w:themeColor="text1"/>
          <w:sz w:val="24"/>
          <w:szCs w:val="24"/>
          <w:lang w:eastAsia="en-GB"/>
        </w:rPr>
      </w:pPr>
      <w:r w:rsidRPr="003967D9">
        <w:rPr>
          <w:color w:val="000000" w:themeColor="text1"/>
          <w:sz w:val="24"/>
          <w:szCs w:val="24"/>
        </w:rPr>
        <w:t xml:space="preserve">Information sharing agreements reflect the fact that DC will retain shared data in accordance with the national Guidance on the Management of Police Information and the retention periods to be applied by partners refers to their individual records management policies. </w:t>
      </w:r>
      <w:r w:rsidRPr="003967D9">
        <w:rPr>
          <w:rFonts w:eastAsia="Times New Roman" w:cs="Times New Roman"/>
          <w:color w:val="000000" w:themeColor="text1"/>
          <w:sz w:val="24"/>
          <w:szCs w:val="24"/>
          <w:lang w:eastAsia="en-GB"/>
        </w:rPr>
        <w:t xml:space="preserve">Steps should be taken to ensure that retention periods are actively discussed and agreed with all partners to agreements. This will help to ensure that personal data is being retained appropriately and not excessively. </w:t>
      </w:r>
    </w:p>
    <w:p w14:paraId="795A2BEC" w14:textId="77777777" w:rsidR="008729FF" w:rsidRPr="003967D9" w:rsidRDefault="00627F01" w:rsidP="00627F01">
      <w:pPr>
        <w:rPr>
          <w:color w:val="000000" w:themeColor="text1"/>
          <w:sz w:val="24"/>
          <w:szCs w:val="24"/>
        </w:rPr>
      </w:pPr>
      <w:r w:rsidRPr="003967D9">
        <w:rPr>
          <w:rFonts w:eastAsia="Times New Roman" w:cs="Times New Roman"/>
          <w:color w:val="000000" w:themeColor="text1"/>
          <w:sz w:val="24"/>
          <w:szCs w:val="24"/>
          <w:lang w:eastAsia="en-GB"/>
        </w:rPr>
        <w:t>DC should ensure that information sharing agreements contain prescriptive requirements for the reporting of both suspected and actual security incidents.  Effective reporting mechanisms should be detailed to ensure that partners are aware of how to report incidents promptly.</w:t>
      </w:r>
    </w:p>
    <w:p w14:paraId="111081A2" w14:textId="77777777" w:rsidR="006C6EB8" w:rsidRDefault="006C6EB8" w:rsidP="00F65D4D">
      <w:pPr>
        <w:spacing w:after="0" w:line="240" w:lineRule="auto"/>
        <w:rPr>
          <w:rFonts w:eastAsia="Times New Roman" w:cs="Times New Roman"/>
          <w:color w:val="000000"/>
          <w:sz w:val="24"/>
          <w:szCs w:val="24"/>
          <w:lang w:eastAsia="en-GB"/>
        </w:rPr>
      </w:pPr>
    </w:p>
    <w:p w14:paraId="4149EF88" w14:textId="77777777" w:rsidR="006C6EB8" w:rsidRDefault="006C6EB8" w:rsidP="00F65D4D">
      <w:pPr>
        <w:spacing w:after="0" w:line="240" w:lineRule="auto"/>
        <w:rPr>
          <w:rFonts w:eastAsia="Times New Roman" w:cs="Times New Roman"/>
          <w:color w:val="000000"/>
          <w:sz w:val="24"/>
          <w:szCs w:val="24"/>
          <w:lang w:eastAsia="en-GB"/>
        </w:rPr>
      </w:pPr>
    </w:p>
    <w:p w14:paraId="4C76F96A" w14:textId="77777777" w:rsidR="006C6EB8" w:rsidRDefault="006C6EB8" w:rsidP="00F65D4D">
      <w:pPr>
        <w:spacing w:after="0" w:line="240" w:lineRule="auto"/>
        <w:rPr>
          <w:rFonts w:eastAsia="Times New Roman" w:cs="Times New Roman"/>
          <w:color w:val="000000"/>
          <w:sz w:val="24"/>
          <w:szCs w:val="24"/>
          <w:lang w:eastAsia="en-GB"/>
        </w:rPr>
      </w:pPr>
    </w:p>
    <w:p w14:paraId="0160AD7B" w14:textId="01293696" w:rsidR="003E6496" w:rsidRDefault="00627F01" w:rsidP="00F65D4D">
      <w:pPr>
        <w:spacing w:after="0" w:line="240" w:lineRule="auto"/>
        <w:rPr>
          <w:sz w:val="28"/>
          <w:szCs w:val="28"/>
        </w:rPr>
      </w:pPr>
      <w:r w:rsidRPr="00627F01">
        <w:rPr>
          <w:rFonts w:eastAsia="Times New Roman" w:cs="Times New Roman"/>
          <w:color w:val="000000"/>
          <w:sz w:val="24"/>
          <w:szCs w:val="24"/>
          <w:lang w:eastAsia="en-GB"/>
        </w:rPr>
        <w:br/>
      </w:r>
    </w:p>
    <w:p w14:paraId="0E7B1770" w14:textId="77777777" w:rsidR="007748EE" w:rsidRDefault="007748EE" w:rsidP="00CB368B">
      <w:pPr>
        <w:rPr>
          <w:rFonts w:ascii="Georgia" w:hAnsi="Georgia"/>
          <w:color w:val="4F81BD" w:themeColor="accent1"/>
          <w:sz w:val="36"/>
          <w:szCs w:val="36"/>
        </w:rPr>
      </w:pPr>
    </w:p>
    <w:p w14:paraId="233EEDF2" w14:textId="77777777" w:rsidR="007748EE" w:rsidRDefault="007748EE" w:rsidP="00CB368B">
      <w:pPr>
        <w:rPr>
          <w:rFonts w:ascii="Georgia" w:hAnsi="Georgia"/>
          <w:color w:val="4F81BD" w:themeColor="accent1"/>
          <w:sz w:val="36"/>
          <w:szCs w:val="36"/>
        </w:rPr>
      </w:pPr>
    </w:p>
    <w:p w14:paraId="45C3FE3D" w14:textId="77777777" w:rsidR="00BE2DB0" w:rsidRDefault="00BE2DB0" w:rsidP="00CB368B">
      <w:pPr>
        <w:rPr>
          <w:rFonts w:ascii="Georgia" w:hAnsi="Georgia"/>
          <w:color w:val="4F81BD" w:themeColor="accent1"/>
          <w:sz w:val="36"/>
          <w:szCs w:val="36"/>
        </w:rPr>
      </w:pPr>
    </w:p>
    <w:p w14:paraId="1F48616E" w14:textId="38ACEA1E" w:rsidR="00CB368B" w:rsidRDefault="00CB368B" w:rsidP="00CB368B">
      <w:pPr>
        <w:rPr>
          <w:rFonts w:ascii="Georgia" w:hAnsi="Georgia"/>
          <w:color w:val="4F81BD" w:themeColor="accent1"/>
          <w:sz w:val="36"/>
          <w:szCs w:val="36"/>
        </w:rPr>
      </w:pPr>
      <w:r w:rsidRPr="00820514">
        <w:rPr>
          <w:rFonts w:ascii="Georgia" w:hAnsi="Georgia"/>
          <w:color w:val="4F81BD" w:themeColor="accent1"/>
          <w:sz w:val="36"/>
          <w:szCs w:val="36"/>
        </w:rPr>
        <w:t>Good Practice</w:t>
      </w:r>
      <w:r>
        <w:rPr>
          <w:rFonts w:ascii="Georgia" w:hAnsi="Georgia"/>
          <w:color w:val="4F81BD" w:themeColor="accent1"/>
          <w:sz w:val="36"/>
          <w:szCs w:val="36"/>
        </w:rPr>
        <w:t xml:space="preserve"> </w:t>
      </w:r>
    </w:p>
    <w:p w14:paraId="251FC274" w14:textId="178F1C79" w:rsidR="00F65D4D" w:rsidRDefault="00F65D4D" w:rsidP="00F65D4D">
      <w:pPr>
        <w:spacing w:after="0"/>
        <w:rPr>
          <w:color w:val="000000" w:themeColor="text1"/>
          <w:sz w:val="24"/>
          <w:szCs w:val="24"/>
        </w:rPr>
      </w:pPr>
      <w:r>
        <w:rPr>
          <w:color w:val="000000" w:themeColor="text1"/>
          <w:sz w:val="24"/>
          <w:szCs w:val="24"/>
        </w:rPr>
        <w:t xml:space="preserve">The </w:t>
      </w:r>
      <w:r w:rsidRPr="00F65D4D">
        <w:rPr>
          <w:color w:val="000000" w:themeColor="text1"/>
          <w:sz w:val="24"/>
          <w:szCs w:val="24"/>
        </w:rPr>
        <w:t xml:space="preserve">Head of the Information Management Department </w:t>
      </w:r>
      <w:r>
        <w:rPr>
          <w:color w:val="000000" w:themeColor="text1"/>
          <w:sz w:val="24"/>
          <w:szCs w:val="24"/>
        </w:rPr>
        <w:t>who is also the Force D</w:t>
      </w:r>
      <w:r w:rsidR="00472D6D">
        <w:rPr>
          <w:color w:val="000000" w:themeColor="text1"/>
          <w:sz w:val="24"/>
          <w:szCs w:val="24"/>
        </w:rPr>
        <w:t xml:space="preserve">ata Protection Officer (DPO) </w:t>
      </w:r>
      <w:r>
        <w:rPr>
          <w:color w:val="000000" w:themeColor="text1"/>
          <w:sz w:val="24"/>
          <w:szCs w:val="24"/>
        </w:rPr>
        <w:t xml:space="preserve">attends the regular </w:t>
      </w:r>
      <w:r w:rsidRPr="00F65D4D">
        <w:rPr>
          <w:color w:val="000000" w:themeColor="text1"/>
          <w:sz w:val="24"/>
          <w:szCs w:val="24"/>
        </w:rPr>
        <w:t xml:space="preserve">"Heads of Business Meetings", chaired by the </w:t>
      </w:r>
      <w:r w:rsidR="00472D6D">
        <w:rPr>
          <w:color w:val="000000" w:themeColor="text1"/>
          <w:sz w:val="24"/>
          <w:szCs w:val="24"/>
        </w:rPr>
        <w:t>Senior Information Risk Officer (</w:t>
      </w:r>
      <w:r w:rsidRPr="00F65D4D">
        <w:rPr>
          <w:color w:val="000000" w:themeColor="text1"/>
          <w:sz w:val="24"/>
          <w:szCs w:val="24"/>
        </w:rPr>
        <w:t>SIRO</w:t>
      </w:r>
      <w:r w:rsidR="00472D6D">
        <w:rPr>
          <w:color w:val="000000" w:themeColor="text1"/>
          <w:sz w:val="24"/>
          <w:szCs w:val="24"/>
        </w:rPr>
        <w:t>)</w:t>
      </w:r>
      <w:r w:rsidRPr="00F65D4D">
        <w:rPr>
          <w:color w:val="000000" w:themeColor="text1"/>
          <w:sz w:val="24"/>
          <w:szCs w:val="24"/>
        </w:rPr>
        <w:t>. This enables the DPO greater oversight of force activities</w:t>
      </w:r>
      <w:r>
        <w:rPr>
          <w:color w:val="000000" w:themeColor="text1"/>
          <w:sz w:val="24"/>
          <w:szCs w:val="24"/>
        </w:rPr>
        <w:t xml:space="preserve"> involving personal data </w:t>
      </w:r>
      <w:r w:rsidRPr="00F65D4D">
        <w:rPr>
          <w:color w:val="000000" w:themeColor="text1"/>
          <w:sz w:val="24"/>
          <w:szCs w:val="24"/>
        </w:rPr>
        <w:t xml:space="preserve">and </w:t>
      </w:r>
      <w:r>
        <w:rPr>
          <w:color w:val="000000" w:themeColor="text1"/>
          <w:sz w:val="24"/>
          <w:szCs w:val="24"/>
        </w:rPr>
        <w:t xml:space="preserve">ensures a </w:t>
      </w:r>
      <w:r w:rsidRPr="00F65D4D">
        <w:rPr>
          <w:color w:val="000000" w:themeColor="text1"/>
          <w:sz w:val="24"/>
          <w:szCs w:val="24"/>
        </w:rPr>
        <w:t>higher profile for both data protection and the Information Management Department.</w:t>
      </w:r>
    </w:p>
    <w:p w14:paraId="250D3015" w14:textId="77777777" w:rsidR="00F65D4D" w:rsidRPr="00F65D4D" w:rsidRDefault="00F65D4D" w:rsidP="00F65D4D">
      <w:pPr>
        <w:spacing w:after="0"/>
        <w:rPr>
          <w:color w:val="000000" w:themeColor="text1"/>
          <w:sz w:val="24"/>
          <w:szCs w:val="24"/>
        </w:rPr>
      </w:pPr>
    </w:p>
    <w:p w14:paraId="49F4853C" w14:textId="336450EE" w:rsidR="00F65D4D" w:rsidRPr="00F65D4D" w:rsidRDefault="00F65D4D" w:rsidP="00F65D4D">
      <w:pPr>
        <w:spacing w:after="0" w:line="240" w:lineRule="auto"/>
        <w:rPr>
          <w:rFonts w:eastAsia="Times New Roman" w:cs="Times New Roman"/>
          <w:color w:val="000000"/>
          <w:sz w:val="24"/>
          <w:szCs w:val="24"/>
          <w:lang w:eastAsia="en-GB"/>
        </w:rPr>
      </w:pPr>
      <w:r w:rsidRPr="00F65D4D">
        <w:rPr>
          <w:rFonts w:eastAsia="Times New Roman" w:cs="Times New Roman"/>
          <w:color w:val="000000"/>
          <w:sz w:val="24"/>
          <w:szCs w:val="24"/>
          <w:lang w:eastAsia="en-GB"/>
        </w:rPr>
        <w:t xml:space="preserve">The 'Connect' intranet has a means to flag and enforce a policy/guidance to be read by way of a mandatory read receipt. </w:t>
      </w:r>
      <w:r>
        <w:rPr>
          <w:rFonts w:eastAsia="Times New Roman" w:cs="Times New Roman"/>
          <w:color w:val="000000"/>
          <w:sz w:val="24"/>
          <w:szCs w:val="24"/>
          <w:lang w:eastAsia="en-GB"/>
        </w:rPr>
        <w:t>I</w:t>
      </w:r>
      <w:r w:rsidRPr="00F65D4D">
        <w:rPr>
          <w:rFonts w:eastAsia="Times New Roman" w:cs="Times New Roman"/>
          <w:color w:val="000000"/>
          <w:sz w:val="24"/>
          <w:szCs w:val="24"/>
          <w:lang w:eastAsia="en-GB"/>
        </w:rPr>
        <w:t>f the item remains unread it is sent to the users email inbox. This is an excellent way to enforce users read key documents.</w:t>
      </w:r>
    </w:p>
    <w:p w14:paraId="17447FFB" w14:textId="77777777" w:rsidR="00F65D4D" w:rsidRDefault="00F65D4D" w:rsidP="00F65D4D">
      <w:pPr>
        <w:spacing w:after="0"/>
        <w:rPr>
          <w:sz w:val="24"/>
          <w:szCs w:val="24"/>
        </w:rPr>
      </w:pPr>
    </w:p>
    <w:p w14:paraId="36CE8B75" w14:textId="2A3F0206" w:rsidR="00CB368B" w:rsidRPr="008729FF" w:rsidRDefault="008729FF" w:rsidP="00F65D4D">
      <w:pPr>
        <w:spacing w:after="0"/>
        <w:rPr>
          <w:sz w:val="24"/>
          <w:szCs w:val="24"/>
        </w:rPr>
      </w:pPr>
      <w:r w:rsidRPr="008729FF">
        <w:rPr>
          <w:sz w:val="24"/>
          <w:szCs w:val="24"/>
        </w:rPr>
        <w:t>The programme of data quality checks completed by the Data Quality and RRD Team is comprehensive and enables DC to identify and rectify data quality issues efficiently and proactively.</w:t>
      </w:r>
    </w:p>
    <w:p w14:paraId="5A3DD5E6" w14:textId="77777777" w:rsidR="00B17196" w:rsidRDefault="00B17196" w:rsidP="00250A59">
      <w:pPr>
        <w:rPr>
          <w:sz w:val="28"/>
          <w:szCs w:val="28"/>
        </w:rPr>
        <w:sectPr w:rsidR="00B17196" w:rsidSect="00690E0D">
          <w:headerReference w:type="default" r:id="rId21"/>
          <w:pgSz w:w="16838" w:h="11906" w:orient="landscape"/>
          <w:pgMar w:top="1440" w:right="1440" w:bottom="1440" w:left="1440" w:header="708" w:footer="708" w:gutter="0"/>
          <w:cols w:space="708"/>
          <w:docGrid w:linePitch="360"/>
        </w:sectPr>
      </w:pPr>
    </w:p>
    <w:p w14:paraId="70C243F2" w14:textId="77777777" w:rsidR="0077019E" w:rsidRDefault="0077019E" w:rsidP="00880091">
      <w:pPr>
        <w:pStyle w:val="ListParagraph"/>
        <w:ind w:left="0"/>
      </w:pPr>
    </w:p>
    <w:p w14:paraId="4F502751" w14:textId="77777777" w:rsidR="00A5327F" w:rsidRDefault="00A5327F" w:rsidP="00880091">
      <w:pPr>
        <w:pStyle w:val="ListParagraph"/>
        <w:ind w:left="0"/>
      </w:pPr>
    </w:p>
    <w:p w14:paraId="157A82BA" w14:textId="77777777" w:rsidR="006B0557" w:rsidRDefault="006B0557" w:rsidP="00880091">
      <w:pPr>
        <w:pStyle w:val="ListParagraph"/>
        <w:ind w:left="0"/>
      </w:pPr>
    </w:p>
    <w:p w14:paraId="17F5CCF9" w14:textId="77777777" w:rsidR="006B0557" w:rsidRDefault="006B0557" w:rsidP="00880091">
      <w:pPr>
        <w:pStyle w:val="ListParagraph"/>
        <w:ind w:left="0"/>
      </w:pPr>
    </w:p>
    <w:p w14:paraId="4BC53729" w14:textId="77777777" w:rsidR="006B0557" w:rsidRDefault="006B0557" w:rsidP="00880091">
      <w:pPr>
        <w:pStyle w:val="ListParagraph"/>
        <w:ind w:left="0"/>
      </w:pPr>
    </w:p>
    <w:p w14:paraId="51013FA4" w14:textId="77777777" w:rsidR="00A5327F" w:rsidRDefault="00A5327F" w:rsidP="00880091">
      <w:pPr>
        <w:pStyle w:val="ListParagraph"/>
        <w:ind w:left="0"/>
      </w:pPr>
    </w:p>
    <w:p w14:paraId="60E8310E" w14:textId="77777777" w:rsidR="006229D2" w:rsidRDefault="006229D2" w:rsidP="00880091">
      <w:pPr>
        <w:pStyle w:val="ListParagraph"/>
        <w:ind w:left="0"/>
      </w:pPr>
    </w:p>
    <w:p w14:paraId="46AEC9BE" w14:textId="77777777" w:rsidR="006229D2" w:rsidRDefault="006229D2" w:rsidP="00880091">
      <w:pPr>
        <w:pStyle w:val="ListParagraph"/>
        <w:ind w:left="0"/>
      </w:pPr>
    </w:p>
    <w:p w14:paraId="199666A3" w14:textId="77777777" w:rsidR="006229D2" w:rsidRDefault="006229D2" w:rsidP="00880091">
      <w:pPr>
        <w:pStyle w:val="ListParagraph"/>
        <w:ind w:left="0"/>
      </w:pPr>
    </w:p>
    <w:p w14:paraId="20B6F6BC" w14:textId="77777777" w:rsidR="00551887" w:rsidRDefault="00551887" w:rsidP="00880091">
      <w:pPr>
        <w:pStyle w:val="ListParagraph"/>
        <w:ind w:left="0"/>
      </w:pPr>
    </w:p>
    <w:p w14:paraId="3A7E47D4" w14:textId="77777777" w:rsidR="006229D2" w:rsidRDefault="006229D2" w:rsidP="00880091">
      <w:pPr>
        <w:pStyle w:val="ListParagraph"/>
        <w:ind w:left="0"/>
      </w:pPr>
    </w:p>
    <w:p w14:paraId="7B38E824" w14:textId="77777777" w:rsidR="00880091" w:rsidRPr="006B0557" w:rsidRDefault="00880091" w:rsidP="00A5327F">
      <w:pPr>
        <w:pStyle w:val="ListParagraph"/>
        <w:spacing w:line="240" w:lineRule="auto"/>
        <w:ind w:left="0"/>
        <w:rPr>
          <w:b/>
          <w:sz w:val="24"/>
          <w:szCs w:val="24"/>
        </w:rPr>
      </w:pPr>
      <w:r w:rsidRPr="006B0557">
        <w:rPr>
          <w:b/>
          <w:sz w:val="24"/>
          <w:szCs w:val="24"/>
        </w:rPr>
        <w:t>Disclaimer</w:t>
      </w:r>
    </w:p>
    <w:p w14:paraId="512EA2A4" w14:textId="77777777" w:rsidR="00880091" w:rsidRPr="006B0557" w:rsidRDefault="00880091" w:rsidP="00880091">
      <w:pPr>
        <w:rPr>
          <w:sz w:val="24"/>
          <w:szCs w:val="24"/>
        </w:rPr>
      </w:pPr>
      <w:r w:rsidRPr="006B0557">
        <w:rPr>
          <w:sz w:val="24"/>
          <w:szCs w:val="24"/>
        </w:rPr>
        <w:t>The matters arising in this report are only those that came to our attention during the course of the audit and are not necessarily a comprehensive statement of all the areas requiring improvement.</w:t>
      </w:r>
    </w:p>
    <w:p w14:paraId="05224745" w14:textId="2DB2C1FC" w:rsidR="00880091" w:rsidRPr="006B0557" w:rsidRDefault="00880091" w:rsidP="00880091">
      <w:pPr>
        <w:rPr>
          <w:sz w:val="24"/>
          <w:szCs w:val="24"/>
        </w:rPr>
      </w:pPr>
      <w:r w:rsidRPr="006B0557">
        <w:rPr>
          <w:sz w:val="24"/>
          <w:szCs w:val="24"/>
        </w:rPr>
        <w:lastRenderedPageBreak/>
        <w:t xml:space="preserve">The responsibility for ensuring that there are adequate risk management, governance and internal control arrangements in place rest with the management of </w:t>
      </w:r>
      <w:r w:rsidR="006D655A" w:rsidRPr="006B0557">
        <w:rPr>
          <w:sz w:val="24"/>
          <w:szCs w:val="24"/>
        </w:rPr>
        <w:t>Derbyshire Constabulary</w:t>
      </w:r>
      <w:r w:rsidRPr="006B0557">
        <w:rPr>
          <w:sz w:val="24"/>
          <w:szCs w:val="24"/>
        </w:rPr>
        <w:t>.</w:t>
      </w:r>
    </w:p>
    <w:p w14:paraId="0F14E5CE" w14:textId="77777777" w:rsidR="00880091" w:rsidRPr="006B0557" w:rsidRDefault="00880091" w:rsidP="00880091">
      <w:pPr>
        <w:pStyle w:val="ListParagraph"/>
        <w:ind w:left="0"/>
        <w:rPr>
          <w:sz w:val="24"/>
          <w:szCs w:val="24"/>
        </w:rPr>
      </w:pPr>
      <w:r w:rsidRPr="006B0557">
        <w:rPr>
          <w:sz w:val="24"/>
          <w:szCs w:val="24"/>
        </w:rPr>
        <w:t>We take all reasonable care to ensure that our audit report is fair and accurate but cannot accept any liability to any person or organisation, including any third party, for any loss or damage suffered or costs incurred by it arising out of, or in connection with, the use of this report, however such loss or damage is caused.  We cannot accept liability for loss occasioned to any person or organisation, including any third party, acting or refraining from acting as a result of any information contained in this report.</w:t>
      </w:r>
    </w:p>
    <w:p w14:paraId="2FC0CB1B" w14:textId="77777777" w:rsidR="00880091" w:rsidRPr="006B0557" w:rsidRDefault="00880091" w:rsidP="00880091">
      <w:pPr>
        <w:pStyle w:val="ListParagraph"/>
        <w:ind w:left="0"/>
        <w:rPr>
          <w:sz w:val="24"/>
          <w:szCs w:val="24"/>
        </w:rPr>
      </w:pPr>
    </w:p>
    <w:p w14:paraId="123C984A" w14:textId="470ACFF4" w:rsidR="00880091" w:rsidRPr="006B0557" w:rsidRDefault="00880091" w:rsidP="00A87FD9">
      <w:pPr>
        <w:pStyle w:val="ListParagraph"/>
        <w:ind w:left="0"/>
        <w:rPr>
          <w:sz w:val="24"/>
          <w:szCs w:val="24"/>
        </w:rPr>
      </w:pPr>
      <w:r w:rsidRPr="006B0557">
        <w:rPr>
          <w:sz w:val="24"/>
          <w:szCs w:val="24"/>
        </w:rPr>
        <w:t xml:space="preserve">This report is an exception report and is solely for the use of </w:t>
      </w:r>
      <w:r w:rsidR="006D655A" w:rsidRPr="006B0557">
        <w:rPr>
          <w:sz w:val="24"/>
          <w:szCs w:val="24"/>
        </w:rPr>
        <w:t>Derbyshire Constabulary</w:t>
      </w:r>
      <w:r w:rsidRPr="006B0557">
        <w:rPr>
          <w:sz w:val="24"/>
          <w:szCs w:val="24"/>
        </w:rPr>
        <w:t xml:space="preserve">. The scope areas and controls covered by the audit have been tailored to </w:t>
      </w:r>
      <w:r w:rsidR="006D655A" w:rsidRPr="006B0557">
        <w:rPr>
          <w:sz w:val="24"/>
          <w:szCs w:val="24"/>
        </w:rPr>
        <w:t xml:space="preserve">Derbyshire Constabulary </w:t>
      </w:r>
      <w:r w:rsidRPr="006B0557">
        <w:rPr>
          <w:sz w:val="24"/>
          <w:szCs w:val="24"/>
        </w:rPr>
        <w:t xml:space="preserve">and, as a result, the audit report is not intended to be used in comparison with other ICO audit reports.  </w:t>
      </w:r>
    </w:p>
    <w:sectPr w:rsidR="00880091" w:rsidRPr="006B0557" w:rsidSect="00265F02">
      <w:headerReference w:type="default" r:id="rId22"/>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D25CA" w14:textId="77777777" w:rsidR="00972831" w:rsidRDefault="00972831" w:rsidP="00D8445F">
      <w:pPr>
        <w:spacing w:after="0" w:line="240" w:lineRule="auto"/>
      </w:pPr>
      <w:r>
        <w:separator/>
      </w:r>
    </w:p>
  </w:endnote>
  <w:endnote w:type="continuationSeparator" w:id="0">
    <w:p w14:paraId="3F6A80B3" w14:textId="77777777" w:rsidR="00972831" w:rsidRDefault="00972831" w:rsidP="00D8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F3BBC" w14:textId="670258B1" w:rsidR="00972831" w:rsidRDefault="00972831">
    <w:pPr>
      <w:pStyle w:val="Footer"/>
    </w:pPr>
    <w:r w:rsidRPr="005B6770">
      <w:rPr>
        <w:rFonts w:ascii="Arial" w:eastAsia="Times New Roman" w:hAnsi="Arial" w:cs="Arial"/>
        <w:noProof/>
        <w:sz w:val="24"/>
        <w:szCs w:val="24"/>
        <w:lang w:eastAsia="en-GB"/>
      </w:rPr>
      <w:drawing>
        <wp:anchor distT="0" distB="0" distL="114300" distR="114300" simplePos="0" relativeHeight="251656704" behindDoc="0" locked="0" layoutInCell="1" allowOverlap="1" wp14:anchorId="214A3D76" wp14:editId="38248F17">
          <wp:simplePos x="0" y="0"/>
          <wp:positionH relativeFrom="column">
            <wp:posOffset>8649767</wp:posOffset>
          </wp:positionH>
          <wp:positionV relativeFrom="paragraph">
            <wp:posOffset>-151130</wp:posOffset>
          </wp:positionV>
          <wp:extent cx="825272" cy="544749"/>
          <wp:effectExtent l="0" t="0" r="0" b="825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5272" cy="544749"/>
                  </a:xfrm>
                  <a:prstGeom prst="rect">
                    <a:avLst/>
                  </a:prstGeom>
                  <a:noFill/>
                </pic:spPr>
              </pic:pic>
            </a:graphicData>
          </a:graphic>
        </wp:anchor>
      </w:drawing>
    </w:r>
    <w:r w:rsidRPr="005B6770">
      <w:rPr>
        <w:rFonts w:ascii="Arial" w:eastAsia="Times New Roman" w:hAnsi="Arial" w:cs="Arial"/>
        <w:noProof/>
        <w:sz w:val="24"/>
        <w:szCs w:val="24"/>
        <w:lang w:eastAsia="en-GB"/>
      </w:rPr>
      <w:t xml:space="preserve">Derbyshire Constabulary </w:t>
    </w:r>
    <w:r>
      <w:t xml:space="preserve">– ICO Data Protection Audit </w:t>
    </w:r>
    <w:r w:rsidR="006B0557">
      <w:t xml:space="preserve">Executive Summary </w:t>
    </w:r>
    <w:r>
      <w:t>–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7EBDA" w14:textId="77777777" w:rsidR="00972831" w:rsidRDefault="00972831" w:rsidP="00D8445F">
      <w:pPr>
        <w:spacing w:after="0" w:line="240" w:lineRule="auto"/>
      </w:pPr>
      <w:r>
        <w:separator/>
      </w:r>
    </w:p>
  </w:footnote>
  <w:footnote w:type="continuationSeparator" w:id="0">
    <w:p w14:paraId="66F65C0E" w14:textId="77777777" w:rsidR="00972831" w:rsidRDefault="00972831" w:rsidP="00D84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33C62" w14:textId="77777777" w:rsidR="00972831" w:rsidRPr="003E6496" w:rsidRDefault="00972831" w:rsidP="003E6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99F8" w14:textId="77777777" w:rsidR="00972831" w:rsidRPr="003E6496" w:rsidRDefault="00972831" w:rsidP="003E6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271CF"/>
    <w:multiLevelType w:val="hybridMultilevel"/>
    <w:tmpl w:val="BF5809FC"/>
    <w:lvl w:ilvl="0" w:tplc="E94A542E">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E655EB"/>
    <w:multiLevelType w:val="hybridMultilevel"/>
    <w:tmpl w:val="AD5C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5F"/>
    <w:rsid w:val="00024C38"/>
    <w:rsid w:val="000370E5"/>
    <w:rsid w:val="00067B84"/>
    <w:rsid w:val="00090075"/>
    <w:rsid w:val="00090AB8"/>
    <w:rsid w:val="00091C46"/>
    <w:rsid w:val="0010484F"/>
    <w:rsid w:val="00104875"/>
    <w:rsid w:val="00121986"/>
    <w:rsid w:val="001355BD"/>
    <w:rsid w:val="00167D8F"/>
    <w:rsid w:val="00170481"/>
    <w:rsid w:val="0017711E"/>
    <w:rsid w:val="00182021"/>
    <w:rsid w:val="001B2D63"/>
    <w:rsid w:val="001D2415"/>
    <w:rsid w:val="001E464F"/>
    <w:rsid w:val="001F020F"/>
    <w:rsid w:val="00204F3B"/>
    <w:rsid w:val="00236A1D"/>
    <w:rsid w:val="00250A59"/>
    <w:rsid w:val="00251689"/>
    <w:rsid w:val="00265F02"/>
    <w:rsid w:val="002B0B7E"/>
    <w:rsid w:val="002D767C"/>
    <w:rsid w:val="002E1402"/>
    <w:rsid w:val="00315CA9"/>
    <w:rsid w:val="0032057B"/>
    <w:rsid w:val="00331289"/>
    <w:rsid w:val="00357B13"/>
    <w:rsid w:val="00392BE6"/>
    <w:rsid w:val="00395578"/>
    <w:rsid w:val="003967D9"/>
    <w:rsid w:val="003B403B"/>
    <w:rsid w:val="003E4C3F"/>
    <w:rsid w:val="003E6496"/>
    <w:rsid w:val="00422A38"/>
    <w:rsid w:val="00472D6D"/>
    <w:rsid w:val="004A448E"/>
    <w:rsid w:val="004A6994"/>
    <w:rsid w:val="004B377C"/>
    <w:rsid w:val="004B6213"/>
    <w:rsid w:val="004C4BF9"/>
    <w:rsid w:val="004F6F69"/>
    <w:rsid w:val="0050312C"/>
    <w:rsid w:val="00505D27"/>
    <w:rsid w:val="00510F2F"/>
    <w:rsid w:val="00516E83"/>
    <w:rsid w:val="00551887"/>
    <w:rsid w:val="0056549D"/>
    <w:rsid w:val="005764BB"/>
    <w:rsid w:val="005808DA"/>
    <w:rsid w:val="00583AAF"/>
    <w:rsid w:val="00584F07"/>
    <w:rsid w:val="005B6770"/>
    <w:rsid w:val="005F56B0"/>
    <w:rsid w:val="006229D2"/>
    <w:rsid w:val="00626137"/>
    <w:rsid w:val="00627F01"/>
    <w:rsid w:val="00653F94"/>
    <w:rsid w:val="0066005D"/>
    <w:rsid w:val="00675AE0"/>
    <w:rsid w:val="00690E0D"/>
    <w:rsid w:val="00692DF3"/>
    <w:rsid w:val="00697F20"/>
    <w:rsid w:val="006A011B"/>
    <w:rsid w:val="006B021C"/>
    <w:rsid w:val="006B0557"/>
    <w:rsid w:val="006B338B"/>
    <w:rsid w:val="006C6EB8"/>
    <w:rsid w:val="006D655A"/>
    <w:rsid w:val="007534EE"/>
    <w:rsid w:val="00757C46"/>
    <w:rsid w:val="0077019E"/>
    <w:rsid w:val="007748EE"/>
    <w:rsid w:val="00793BA5"/>
    <w:rsid w:val="007A0889"/>
    <w:rsid w:val="007B60A2"/>
    <w:rsid w:val="007E5350"/>
    <w:rsid w:val="00820514"/>
    <w:rsid w:val="0082062E"/>
    <w:rsid w:val="00836CE2"/>
    <w:rsid w:val="00860CFE"/>
    <w:rsid w:val="00864AF5"/>
    <w:rsid w:val="008729FF"/>
    <w:rsid w:val="00880091"/>
    <w:rsid w:val="00882776"/>
    <w:rsid w:val="008B01E1"/>
    <w:rsid w:val="008C1066"/>
    <w:rsid w:val="008D04C0"/>
    <w:rsid w:val="008F40A9"/>
    <w:rsid w:val="0090239C"/>
    <w:rsid w:val="00925BF9"/>
    <w:rsid w:val="00944C65"/>
    <w:rsid w:val="00972831"/>
    <w:rsid w:val="00984DA6"/>
    <w:rsid w:val="009B6017"/>
    <w:rsid w:val="009D2654"/>
    <w:rsid w:val="009E5302"/>
    <w:rsid w:val="009F2CD3"/>
    <w:rsid w:val="00A17F3C"/>
    <w:rsid w:val="00A2169E"/>
    <w:rsid w:val="00A5327F"/>
    <w:rsid w:val="00A53799"/>
    <w:rsid w:val="00A73118"/>
    <w:rsid w:val="00A73F85"/>
    <w:rsid w:val="00A87FD9"/>
    <w:rsid w:val="00AF22D4"/>
    <w:rsid w:val="00B00A62"/>
    <w:rsid w:val="00B10995"/>
    <w:rsid w:val="00B1162D"/>
    <w:rsid w:val="00B17196"/>
    <w:rsid w:val="00B3076F"/>
    <w:rsid w:val="00B32174"/>
    <w:rsid w:val="00B445EC"/>
    <w:rsid w:val="00B65180"/>
    <w:rsid w:val="00B92B26"/>
    <w:rsid w:val="00BA4A44"/>
    <w:rsid w:val="00BB43D1"/>
    <w:rsid w:val="00BC065B"/>
    <w:rsid w:val="00BD74BC"/>
    <w:rsid w:val="00BE2DB0"/>
    <w:rsid w:val="00BF7932"/>
    <w:rsid w:val="00C01592"/>
    <w:rsid w:val="00C063C0"/>
    <w:rsid w:val="00C17658"/>
    <w:rsid w:val="00C51626"/>
    <w:rsid w:val="00C61F54"/>
    <w:rsid w:val="00C62E95"/>
    <w:rsid w:val="00C67763"/>
    <w:rsid w:val="00C871C6"/>
    <w:rsid w:val="00CA14E3"/>
    <w:rsid w:val="00CA574D"/>
    <w:rsid w:val="00CA622C"/>
    <w:rsid w:val="00CB368B"/>
    <w:rsid w:val="00CD047B"/>
    <w:rsid w:val="00D11FD5"/>
    <w:rsid w:val="00D1290B"/>
    <w:rsid w:val="00D25C2C"/>
    <w:rsid w:val="00D2783F"/>
    <w:rsid w:val="00D31D14"/>
    <w:rsid w:val="00D3798E"/>
    <w:rsid w:val="00D44EDA"/>
    <w:rsid w:val="00D747A4"/>
    <w:rsid w:val="00D8445F"/>
    <w:rsid w:val="00D97BEA"/>
    <w:rsid w:val="00DB3B85"/>
    <w:rsid w:val="00DC1058"/>
    <w:rsid w:val="00E17DE7"/>
    <w:rsid w:val="00E41565"/>
    <w:rsid w:val="00E64457"/>
    <w:rsid w:val="00EC3DE2"/>
    <w:rsid w:val="00EE38EA"/>
    <w:rsid w:val="00F65D4D"/>
    <w:rsid w:val="00F80B35"/>
    <w:rsid w:val="00F824CF"/>
    <w:rsid w:val="00F858BC"/>
    <w:rsid w:val="00F9311D"/>
    <w:rsid w:val="00FA4C42"/>
    <w:rsid w:val="00FA6B89"/>
    <w:rsid w:val="00FB71AD"/>
    <w:rsid w:val="00FC0779"/>
    <w:rsid w:val="00FE2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111F663"/>
  <w15:docId w15:val="{555405D2-F024-476F-985F-C5CC32A4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45F"/>
  </w:style>
  <w:style w:type="paragraph" w:styleId="Footer">
    <w:name w:val="footer"/>
    <w:basedOn w:val="Normal"/>
    <w:link w:val="FooterChar"/>
    <w:uiPriority w:val="99"/>
    <w:unhideWhenUsed/>
    <w:rsid w:val="00D84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45F"/>
  </w:style>
  <w:style w:type="paragraph" w:styleId="NoSpacing">
    <w:name w:val="No Spacing"/>
    <w:link w:val="NoSpacingChar"/>
    <w:uiPriority w:val="1"/>
    <w:qFormat/>
    <w:rsid w:val="00A73118"/>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A73118"/>
    <w:rPr>
      <w:rFonts w:asciiTheme="minorHAnsi" w:eastAsiaTheme="minorEastAsia" w:hAnsiTheme="minorHAnsi"/>
      <w:lang w:val="en-US"/>
    </w:rPr>
  </w:style>
  <w:style w:type="paragraph" w:styleId="BalloonText">
    <w:name w:val="Balloon Text"/>
    <w:basedOn w:val="Normal"/>
    <w:link w:val="BalloonTextChar"/>
    <w:uiPriority w:val="99"/>
    <w:semiHidden/>
    <w:unhideWhenUsed/>
    <w:rsid w:val="00A7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118"/>
    <w:rPr>
      <w:rFonts w:ascii="Tahoma" w:hAnsi="Tahoma" w:cs="Tahoma"/>
      <w:sz w:val="16"/>
      <w:szCs w:val="16"/>
    </w:rPr>
  </w:style>
  <w:style w:type="paragraph" w:styleId="ListParagraph">
    <w:name w:val="List Paragraph"/>
    <w:basedOn w:val="Normal"/>
    <w:uiPriority w:val="34"/>
    <w:qFormat/>
    <w:rsid w:val="00880091"/>
    <w:pPr>
      <w:ind w:left="720"/>
      <w:contextualSpacing/>
    </w:pPr>
  </w:style>
  <w:style w:type="table" w:styleId="TableGrid">
    <w:name w:val="Table Grid"/>
    <w:basedOn w:val="TableNormal"/>
    <w:uiPriority w:val="59"/>
    <w:rsid w:val="00880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08DA"/>
    <w:rPr>
      <w:sz w:val="16"/>
      <w:szCs w:val="16"/>
    </w:rPr>
  </w:style>
  <w:style w:type="paragraph" w:styleId="CommentText">
    <w:name w:val="annotation text"/>
    <w:basedOn w:val="Normal"/>
    <w:link w:val="CommentTextChar"/>
    <w:uiPriority w:val="99"/>
    <w:unhideWhenUsed/>
    <w:rsid w:val="005808DA"/>
    <w:pPr>
      <w:spacing w:line="240" w:lineRule="auto"/>
    </w:pPr>
    <w:rPr>
      <w:sz w:val="20"/>
      <w:szCs w:val="20"/>
    </w:rPr>
  </w:style>
  <w:style w:type="character" w:customStyle="1" w:styleId="CommentTextChar">
    <w:name w:val="Comment Text Char"/>
    <w:basedOn w:val="DefaultParagraphFont"/>
    <w:link w:val="CommentText"/>
    <w:uiPriority w:val="99"/>
    <w:rsid w:val="005808DA"/>
    <w:rPr>
      <w:sz w:val="20"/>
      <w:szCs w:val="20"/>
    </w:rPr>
  </w:style>
  <w:style w:type="paragraph" w:styleId="CommentSubject">
    <w:name w:val="annotation subject"/>
    <w:basedOn w:val="CommentText"/>
    <w:next w:val="CommentText"/>
    <w:link w:val="CommentSubjectChar"/>
    <w:uiPriority w:val="99"/>
    <w:semiHidden/>
    <w:unhideWhenUsed/>
    <w:rsid w:val="005808DA"/>
    <w:rPr>
      <w:b/>
      <w:bCs/>
    </w:rPr>
  </w:style>
  <w:style w:type="character" w:customStyle="1" w:styleId="CommentSubjectChar">
    <w:name w:val="Comment Subject Char"/>
    <w:basedOn w:val="CommentTextChar"/>
    <w:link w:val="CommentSubject"/>
    <w:uiPriority w:val="99"/>
    <w:semiHidden/>
    <w:rsid w:val="005808DA"/>
    <w:rPr>
      <w:b/>
      <w:bCs/>
      <w:sz w:val="20"/>
      <w:szCs w:val="20"/>
    </w:rPr>
  </w:style>
  <w:style w:type="table" w:customStyle="1" w:styleId="TableGrid1">
    <w:name w:val="Table Grid1"/>
    <w:basedOn w:val="TableNormal"/>
    <w:next w:val="TableGrid"/>
    <w:uiPriority w:val="59"/>
    <w:rsid w:val="00265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0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BEA"/>
    <w:rPr>
      <w:color w:val="0000FF" w:themeColor="hyperlink"/>
      <w:u w:val="single"/>
    </w:rPr>
  </w:style>
  <w:style w:type="paragraph" w:styleId="Revision">
    <w:name w:val="Revision"/>
    <w:hidden/>
    <w:uiPriority w:val="99"/>
    <w:semiHidden/>
    <w:rsid w:val="00067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5941">
      <w:bodyDiv w:val="1"/>
      <w:marLeft w:val="0"/>
      <w:marRight w:val="0"/>
      <w:marTop w:val="0"/>
      <w:marBottom w:val="0"/>
      <w:divBdr>
        <w:top w:val="none" w:sz="0" w:space="0" w:color="auto"/>
        <w:left w:val="none" w:sz="0" w:space="0" w:color="auto"/>
        <w:bottom w:val="none" w:sz="0" w:space="0" w:color="auto"/>
        <w:right w:val="none" w:sz="0" w:space="0" w:color="auto"/>
      </w:divBdr>
    </w:div>
    <w:div w:id="248124651">
      <w:bodyDiv w:val="1"/>
      <w:marLeft w:val="0"/>
      <w:marRight w:val="0"/>
      <w:marTop w:val="0"/>
      <w:marBottom w:val="0"/>
      <w:divBdr>
        <w:top w:val="none" w:sz="0" w:space="0" w:color="auto"/>
        <w:left w:val="none" w:sz="0" w:space="0" w:color="auto"/>
        <w:bottom w:val="none" w:sz="0" w:space="0" w:color="auto"/>
        <w:right w:val="none" w:sz="0" w:space="0" w:color="auto"/>
      </w:divBdr>
    </w:div>
    <w:div w:id="364909087">
      <w:bodyDiv w:val="1"/>
      <w:marLeft w:val="0"/>
      <w:marRight w:val="0"/>
      <w:marTop w:val="0"/>
      <w:marBottom w:val="0"/>
      <w:divBdr>
        <w:top w:val="none" w:sz="0" w:space="0" w:color="auto"/>
        <w:left w:val="none" w:sz="0" w:space="0" w:color="auto"/>
        <w:bottom w:val="none" w:sz="0" w:space="0" w:color="auto"/>
        <w:right w:val="none" w:sz="0" w:space="0" w:color="auto"/>
      </w:divBdr>
    </w:div>
    <w:div w:id="405105819">
      <w:bodyDiv w:val="1"/>
      <w:marLeft w:val="0"/>
      <w:marRight w:val="0"/>
      <w:marTop w:val="0"/>
      <w:marBottom w:val="0"/>
      <w:divBdr>
        <w:top w:val="none" w:sz="0" w:space="0" w:color="auto"/>
        <w:left w:val="none" w:sz="0" w:space="0" w:color="auto"/>
        <w:bottom w:val="none" w:sz="0" w:space="0" w:color="auto"/>
        <w:right w:val="none" w:sz="0" w:space="0" w:color="auto"/>
      </w:divBdr>
    </w:div>
    <w:div w:id="426585134">
      <w:bodyDiv w:val="1"/>
      <w:marLeft w:val="0"/>
      <w:marRight w:val="0"/>
      <w:marTop w:val="0"/>
      <w:marBottom w:val="0"/>
      <w:divBdr>
        <w:top w:val="none" w:sz="0" w:space="0" w:color="auto"/>
        <w:left w:val="none" w:sz="0" w:space="0" w:color="auto"/>
        <w:bottom w:val="none" w:sz="0" w:space="0" w:color="auto"/>
        <w:right w:val="none" w:sz="0" w:space="0" w:color="auto"/>
      </w:divBdr>
    </w:div>
    <w:div w:id="716200296">
      <w:bodyDiv w:val="1"/>
      <w:marLeft w:val="0"/>
      <w:marRight w:val="0"/>
      <w:marTop w:val="0"/>
      <w:marBottom w:val="0"/>
      <w:divBdr>
        <w:top w:val="none" w:sz="0" w:space="0" w:color="auto"/>
        <w:left w:val="none" w:sz="0" w:space="0" w:color="auto"/>
        <w:bottom w:val="none" w:sz="0" w:space="0" w:color="auto"/>
        <w:right w:val="none" w:sz="0" w:space="0" w:color="auto"/>
      </w:divBdr>
    </w:div>
    <w:div w:id="730689899">
      <w:bodyDiv w:val="1"/>
      <w:marLeft w:val="0"/>
      <w:marRight w:val="0"/>
      <w:marTop w:val="0"/>
      <w:marBottom w:val="0"/>
      <w:divBdr>
        <w:top w:val="none" w:sz="0" w:space="0" w:color="auto"/>
        <w:left w:val="none" w:sz="0" w:space="0" w:color="auto"/>
        <w:bottom w:val="none" w:sz="0" w:space="0" w:color="auto"/>
        <w:right w:val="none" w:sz="0" w:space="0" w:color="auto"/>
      </w:divBdr>
    </w:div>
    <w:div w:id="731461011">
      <w:bodyDiv w:val="1"/>
      <w:marLeft w:val="0"/>
      <w:marRight w:val="0"/>
      <w:marTop w:val="0"/>
      <w:marBottom w:val="0"/>
      <w:divBdr>
        <w:top w:val="none" w:sz="0" w:space="0" w:color="auto"/>
        <w:left w:val="none" w:sz="0" w:space="0" w:color="auto"/>
        <w:bottom w:val="none" w:sz="0" w:space="0" w:color="auto"/>
        <w:right w:val="none" w:sz="0" w:space="0" w:color="auto"/>
      </w:divBdr>
    </w:div>
    <w:div w:id="751001246">
      <w:bodyDiv w:val="1"/>
      <w:marLeft w:val="0"/>
      <w:marRight w:val="0"/>
      <w:marTop w:val="0"/>
      <w:marBottom w:val="0"/>
      <w:divBdr>
        <w:top w:val="none" w:sz="0" w:space="0" w:color="auto"/>
        <w:left w:val="none" w:sz="0" w:space="0" w:color="auto"/>
        <w:bottom w:val="none" w:sz="0" w:space="0" w:color="auto"/>
        <w:right w:val="none" w:sz="0" w:space="0" w:color="auto"/>
      </w:divBdr>
    </w:div>
    <w:div w:id="1099567790">
      <w:bodyDiv w:val="1"/>
      <w:marLeft w:val="0"/>
      <w:marRight w:val="0"/>
      <w:marTop w:val="0"/>
      <w:marBottom w:val="0"/>
      <w:divBdr>
        <w:top w:val="none" w:sz="0" w:space="0" w:color="auto"/>
        <w:left w:val="none" w:sz="0" w:space="0" w:color="auto"/>
        <w:bottom w:val="none" w:sz="0" w:space="0" w:color="auto"/>
        <w:right w:val="none" w:sz="0" w:space="0" w:color="auto"/>
      </w:divBdr>
    </w:div>
    <w:div w:id="1147556057">
      <w:bodyDiv w:val="1"/>
      <w:marLeft w:val="0"/>
      <w:marRight w:val="0"/>
      <w:marTop w:val="0"/>
      <w:marBottom w:val="0"/>
      <w:divBdr>
        <w:top w:val="none" w:sz="0" w:space="0" w:color="auto"/>
        <w:left w:val="none" w:sz="0" w:space="0" w:color="auto"/>
        <w:bottom w:val="none" w:sz="0" w:space="0" w:color="auto"/>
        <w:right w:val="none" w:sz="0" w:space="0" w:color="auto"/>
      </w:divBdr>
    </w:div>
    <w:div w:id="1270814866">
      <w:bodyDiv w:val="1"/>
      <w:marLeft w:val="0"/>
      <w:marRight w:val="0"/>
      <w:marTop w:val="0"/>
      <w:marBottom w:val="0"/>
      <w:divBdr>
        <w:top w:val="none" w:sz="0" w:space="0" w:color="auto"/>
        <w:left w:val="none" w:sz="0" w:space="0" w:color="auto"/>
        <w:bottom w:val="none" w:sz="0" w:space="0" w:color="auto"/>
        <w:right w:val="none" w:sz="0" w:space="0" w:color="auto"/>
      </w:divBdr>
    </w:div>
    <w:div w:id="1316451146">
      <w:bodyDiv w:val="1"/>
      <w:marLeft w:val="0"/>
      <w:marRight w:val="0"/>
      <w:marTop w:val="0"/>
      <w:marBottom w:val="0"/>
      <w:divBdr>
        <w:top w:val="none" w:sz="0" w:space="0" w:color="auto"/>
        <w:left w:val="none" w:sz="0" w:space="0" w:color="auto"/>
        <w:bottom w:val="none" w:sz="0" w:space="0" w:color="auto"/>
        <w:right w:val="none" w:sz="0" w:space="0" w:color="auto"/>
      </w:divBdr>
    </w:div>
    <w:div w:id="1368406435">
      <w:bodyDiv w:val="1"/>
      <w:marLeft w:val="0"/>
      <w:marRight w:val="0"/>
      <w:marTop w:val="0"/>
      <w:marBottom w:val="0"/>
      <w:divBdr>
        <w:top w:val="none" w:sz="0" w:space="0" w:color="auto"/>
        <w:left w:val="none" w:sz="0" w:space="0" w:color="auto"/>
        <w:bottom w:val="none" w:sz="0" w:space="0" w:color="auto"/>
        <w:right w:val="none" w:sz="0" w:space="0" w:color="auto"/>
      </w:divBdr>
    </w:div>
    <w:div w:id="1454013036">
      <w:bodyDiv w:val="1"/>
      <w:marLeft w:val="0"/>
      <w:marRight w:val="0"/>
      <w:marTop w:val="0"/>
      <w:marBottom w:val="0"/>
      <w:divBdr>
        <w:top w:val="none" w:sz="0" w:space="0" w:color="auto"/>
        <w:left w:val="none" w:sz="0" w:space="0" w:color="auto"/>
        <w:bottom w:val="none" w:sz="0" w:space="0" w:color="auto"/>
        <w:right w:val="none" w:sz="0" w:space="0" w:color="auto"/>
      </w:divBdr>
    </w:div>
    <w:div w:id="1459294477">
      <w:bodyDiv w:val="1"/>
      <w:marLeft w:val="0"/>
      <w:marRight w:val="0"/>
      <w:marTop w:val="0"/>
      <w:marBottom w:val="0"/>
      <w:divBdr>
        <w:top w:val="none" w:sz="0" w:space="0" w:color="auto"/>
        <w:left w:val="none" w:sz="0" w:space="0" w:color="auto"/>
        <w:bottom w:val="none" w:sz="0" w:space="0" w:color="auto"/>
        <w:right w:val="none" w:sz="0" w:space="0" w:color="auto"/>
      </w:divBdr>
    </w:div>
    <w:div w:id="1582447351">
      <w:bodyDiv w:val="1"/>
      <w:marLeft w:val="0"/>
      <w:marRight w:val="0"/>
      <w:marTop w:val="0"/>
      <w:marBottom w:val="0"/>
      <w:divBdr>
        <w:top w:val="none" w:sz="0" w:space="0" w:color="auto"/>
        <w:left w:val="none" w:sz="0" w:space="0" w:color="auto"/>
        <w:bottom w:val="none" w:sz="0" w:space="0" w:color="auto"/>
        <w:right w:val="none" w:sz="0" w:space="0" w:color="auto"/>
      </w:divBdr>
    </w:div>
    <w:div w:id="1593508151">
      <w:bodyDiv w:val="1"/>
      <w:marLeft w:val="0"/>
      <w:marRight w:val="0"/>
      <w:marTop w:val="0"/>
      <w:marBottom w:val="0"/>
      <w:divBdr>
        <w:top w:val="none" w:sz="0" w:space="0" w:color="auto"/>
        <w:left w:val="none" w:sz="0" w:space="0" w:color="auto"/>
        <w:bottom w:val="none" w:sz="0" w:space="0" w:color="auto"/>
        <w:right w:val="none" w:sz="0" w:space="0" w:color="auto"/>
      </w:divBdr>
    </w:div>
    <w:div w:id="1822885054">
      <w:bodyDiv w:val="1"/>
      <w:marLeft w:val="0"/>
      <w:marRight w:val="0"/>
      <w:marTop w:val="0"/>
      <w:marBottom w:val="0"/>
      <w:divBdr>
        <w:top w:val="none" w:sz="0" w:space="0" w:color="auto"/>
        <w:left w:val="none" w:sz="0" w:space="0" w:color="auto"/>
        <w:bottom w:val="none" w:sz="0" w:space="0" w:color="auto"/>
        <w:right w:val="none" w:sz="0" w:space="0" w:color="auto"/>
      </w:divBdr>
    </w:div>
    <w:div w:id="1844588346">
      <w:bodyDiv w:val="1"/>
      <w:marLeft w:val="0"/>
      <w:marRight w:val="0"/>
      <w:marTop w:val="0"/>
      <w:marBottom w:val="0"/>
      <w:divBdr>
        <w:top w:val="none" w:sz="0" w:space="0" w:color="auto"/>
        <w:left w:val="none" w:sz="0" w:space="0" w:color="auto"/>
        <w:bottom w:val="none" w:sz="0" w:space="0" w:color="auto"/>
        <w:right w:val="none" w:sz="0" w:space="0" w:color="auto"/>
      </w:divBdr>
    </w:div>
    <w:div w:id="2024934951">
      <w:bodyDiv w:val="1"/>
      <w:marLeft w:val="0"/>
      <w:marRight w:val="0"/>
      <w:marTop w:val="0"/>
      <w:marBottom w:val="0"/>
      <w:divBdr>
        <w:top w:val="none" w:sz="0" w:space="0" w:color="auto"/>
        <w:left w:val="none" w:sz="0" w:space="0" w:color="auto"/>
        <w:bottom w:val="none" w:sz="0" w:space="0" w:color="auto"/>
        <w:right w:val="none" w:sz="0" w:space="0" w:color="auto"/>
      </w:divBdr>
    </w:div>
    <w:div w:id="20830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Verdana" panose="020B0604030504040204" pitchFamily="34" charset="0"/>
                <a:cs typeface="Verdana" panose="020B0604030504040204" pitchFamily="34" charset="0"/>
              </a:defRPr>
            </a:pPr>
            <a:r>
              <a:rPr lang="en-GB" sz="1400" b="1">
                <a:latin typeface="+mn-lt"/>
                <a:ea typeface="Verdana" panose="020B0604030504040204" pitchFamily="34" charset="0"/>
                <a:cs typeface="Verdana" panose="020B0604030504040204" pitchFamily="34" charset="0"/>
              </a:rPr>
              <a:t>All scope areas</a:t>
            </a:r>
          </a:p>
          <a:p>
            <a:pPr>
              <a:defRPr>
                <a:ea typeface="Verdana" panose="020B0604030504040204" pitchFamily="34" charset="0"/>
                <a:cs typeface="Verdana" panose="020B0604030504040204" pitchFamily="34" charset="0"/>
              </a:defRPr>
            </a:pPr>
            <a:r>
              <a:rPr lang="en-GB" sz="1400" b="1">
                <a:latin typeface="+mn-lt"/>
                <a:ea typeface="Verdana" panose="020B0604030504040204" pitchFamily="34" charset="0"/>
                <a:cs typeface="Verdana" panose="020B0604030504040204" pitchFamily="34" charset="0"/>
              </a:rPr>
              <a:t>Breakdown of priority of recommendations</a:t>
            </a:r>
          </a:p>
        </c:rich>
      </c:tx>
      <c:layout>
        <c:manualLayout>
          <c:xMode val="edge"/>
          <c:yMode val="edge"/>
          <c:x val="0.14084485068737035"/>
          <c:y val="2.28245329582361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Verdana" panose="020B0604030504040204" pitchFamily="34" charset="0"/>
              <a:cs typeface="Verdana" panose="020B0604030504040204" pitchFamily="34" charset="0"/>
            </a:defRPr>
          </a:pPr>
          <a:endParaRPr lang="en-US"/>
        </a:p>
      </c:txPr>
    </c:title>
    <c:autoTitleDeleted val="0"/>
    <c:plotArea>
      <c:layout/>
      <c:barChart>
        <c:barDir val="col"/>
        <c:grouping val="stacked"/>
        <c:varyColors val="0"/>
        <c:ser>
          <c:idx val="0"/>
          <c:order val="0"/>
          <c:tx>
            <c:strRef>
              <c:f>'Graphs calc'!$B$26</c:f>
              <c:strCache>
                <c:ptCount val="1"/>
                <c:pt idx="0">
                  <c:v>Urgent</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calc'!$A$27:$A$29</c:f>
              <c:strCache>
                <c:ptCount val="3"/>
                <c:pt idx="0">
                  <c:v>Governance &amp; Accountability</c:v>
                </c:pt>
                <c:pt idx="1">
                  <c:v>Security of Personal Data</c:v>
                </c:pt>
                <c:pt idx="2">
                  <c:v>Data Sharing</c:v>
                </c:pt>
              </c:strCache>
            </c:strRef>
          </c:cat>
          <c:val>
            <c:numRef>
              <c:f>'Graphs calc'!$B$27:$B$29</c:f>
              <c:numCache>
                <c:formatCode>General</c:formatCode>
                <c:ptCount val="3"/>
                <c:pt idx="0">
                  <c:v>1</c:v>
                </c:pt>
              </c:numCache>
            </c:numRef>
          </c:val>
        </c:ser>
        <c:ser>
          <c:idx val="1"/>
          <c:order val="1"/>
          <c:tx>
            <c:strRef>
              <c:f>'Graphs calc'!$C$26</c:f>
              <c:strCache>
                <c:ptCount val="1"/>
                <c:pt idx="0">
                  <c:v>High</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calc'!$A$27:$A$29</c:f>
              <c:strCache>
                <c:ptCount val="3"/>
                <c:pt idx="0">
                  <c:v>Governance &amp; Accountability</c:v>
                </c:pt>
                <c:pt idx="1">
                  <c:v>Security of Personal Data</c:v>
                </c:pt>
                <c:pt idx="2">
                  <c:v>Data Sharing</c:v>
                </c:pt>
              </c:strCache>
            </c:strRef>
          </c:cat>
          <c:val>
            <c:numRef>
              <c:f>'Graphs calc'!$C$27:$C$29</c:f>
              <c:numCache>
                <c:formatCode>General</c:formatCode>
                <c:ptCount val="3"/>
                <c:pt idx="0">
                  <c:v>4</c:v>
                </c:pt>
                <c:pt idx="1">
                  <c:v>3</c:v>
                </c:pt>
                <c:pt idx="2">
                  <c:v>8</c:v>
                </c:pt>
              </c:numCache>
            </c:numRef>
          </c:val>
        </c:ser>
        <c:ser>
          <c:idx val="2"/>
          <c:order val="2"/>
          <c:tx>
            <c:strRef>
              <c:f>'Graphs calc'!$D$26</c:f>
              <c:strCache>
                <c:ptCount val="1"/>
                <c:pt idx="0">
                  <c:v>Medium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calc'!$A$27:$A$29</c:f>
              <c:strCache>
                <c:ptCount val="3"/>
                <c:pt idx="0">
                  <c:v>Governance &amp; Accountability</c:v>
                </c:pt>
                <c:pt idx="1">
                  <c:v>Security of Personal Data</c:v>
                </c:pt>
                <c:pt idx="2">
                  <c:v>Data Sharing</c:v>
                </c:pt>
              </c:strCache>
            </c:strRef>
          </c:cat>
          <c:val>
            <c:numRef>
              <c:f>'Graphs calc'!$D$27:$D$29</c:f>
              <c:numCache>
                <c:formatCode>General</c:formatCode>
                <c:ptCount val="3"/>
                <c:pt idx="0">
                  <c:v>17</c:v>
                </c:pt>
                <c:pt idx="1">
                  <c:v>15</c:v>
                </c:pt>
                <c:pt idx="2">
                  <c:v>9</c:v>
                </c:pt>
              </c:numCache>
            </c:numRef>
          </c:val>
        </c:ser>
        <c:ser>
          <c:idx val="3"/>
          <c:order val="3"/>
          <c:tx>
            <c:strRef>
              <c:f>'Graphs calc'!$E$26</c:f>
              <c:strCache>
                <c:ptCount val="1"/>
                <c:pt idx="0">
                  <c:v>Low</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calc'!$A$27:$A$29</c:f>
              <c:strCache>
                <c:ptCount val="3"/>
                <c:pt idx="0">
                  <c:v>Governance &amp; Accountability</c:v>
                </c:pt>
                <c:pt idx="1">
                  <c:v>Security of Personal Data</c:v>
                </c:pt>
                <c:pt idx="2">
                  <c:v>Data Sharing</c:v>
                </c:pt>
              </c:strCache>
            </c:strRef>
          </c:cat>
          <c:val>
            <c:numRef>
              <c:f>'Graphs calc'!$E$27:$E$29</c:f>
              <c:numCache>
                <c:formatCode>General</c:formatCode>
                <c:ptCount val="3"/>
                <c:pt idx="0">
                  <c:v>3</c:v>
                </c:pt>
                <c:pt idx="1">
                  <c:v>3</c:v>
                </c:pt>
                <c:pt idx="2">
                  <c:v>1</c:v>
                </c:pt>
              </c:numCache>
            </c:numRef>
          </c:val>
        </c:ser>
        <c:dLbls>
          <c:dLblPos val="ctr"/>
          <c:showLegendKey val="0"/>
          <c:showVal val="1"/>
          <c:showCatName val="0"/>
          <c:showSerName val="0"/>
          <c:showPercent val="0"/>
          <c:showBubbleSize val="0"/>
        </c:dLbls>
        <c:gapWidth val="150"/>
        <c:overlap val="100"/>
        <c:axId val="415502688"/>
        <c:axId val="415503080"/>
      </c:barChart>
      <c:catAx>
        <c:axId val="41550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15503080"/>
        <c:crosses val="autoZero"/>
        <c:auto val="1"/>
        <c:lblAlgn val="ctr"/>
        <c:lblOffset val="100"/>
        <c:noMultiLvlLbl val="0"/>
      </c:catAx>
      <c:valAx>
        <c:axId val="415503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502688"/>
        <c:crosses val="autoZero"/>
        <c:crossBetween val="between"/>
      </c:valAx>
      <c:spPr>
        <a:noFill/>
        <a:ln>
          <a:noFill/>
        </a:ln>
        <a:effectLst/>
      </c:spPr>
    </c:plotArea>
    <c:legend>
      <c:legendPos val="r"/>
      <c:layout>
        <c:manualLayout>
          <c:xMode val="edge"/>
          <c:yMode val="edge"/>
          <c:x val="0.81054897858047459"/>
          <c:y val="0.3693752278334696"/>
          <c:w val="0.17225428115191893"/>
          <c:h val="0.5085150185127331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Verdana" panose="020B0604030504040204" pitchFamily="34" charset="0"/>
              <a:cs typeface="Verdana" panose="020B0604030504040204" pitchFamily="34" charset="0"/>
            </a:defRPr>
          </a:pPr>
          <a:endParaRPr lang="en-US"/>
        </a:p>
      </c:txPr>
    </c:title>
    <c:autoTitleDeleted val="0"/>
    <c:plotArea>
      <c:layout>
        <c:manualLayout>
          <c:layoutTarget val="inner"/>
          <c:xMode val="edge"/>
          <c:yMode val="edge"/>
          <c:x val="0.25943047913989831"/>
          <c:y val="0.24353578805149628"/>
          <c:w val="0.41140403474670273"/>
          <c:h val="0.60601242888719797"/>
        </c:manualLayout>
      </c:layout>
      <c:pieChart>
        <c:varyColors val="1"/>
        <c:ser>
          <c:idx val="0"/>
          <c:order val="0"/>
          <c:tx>
            <c:strRef>
              <c:f>'Graphs calc'!$E$8</c:f>
              <c:strCache>
                <c:ptCount val="1"/>
                <c:pt idx="0">
                  <c:v>Governance &amp; Accountability
Domain rating summary</c:v>
                </c:pt>
              </c:strCache>
            </c:strRef>
          </c:tx>
          <c:dPt>
            <c:idx val="0"/>
            <c:bubble3D val="0"/>
            <c:spPr>
              <a:solidFill>
                <a:srgbClr val="00B050"/>
              </a:solidFill>
              <a:ln w="19050">
                <a:solidFill>
                  <a:schemeClr val="lt1"/>
                </a:solidFill>
              </a:ln>
              <a:effectLst/>
            </c:spPr>
          </c:dPt>
          <c:dPt>
            <c:idx val="1"/>
            <c:bubble3D val="0"/>
            <c:spPr>
              <a:solidFill>
                <a:srgbClr val="FFFF00"/>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rgbClr val="FF000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'Graphs calc'!$D$9:$D$12</c:f>
              <c:strCache>
                <c:ptCount val="4"/>
                <c:pt idx="0">
                  <c:v>High</c:v>
                </c:pt>
                <c:pt idx="1">
                  <c:v>Reasonable</c:v>
                </c:pt>
                <c:pt idx="2">
                  <c:v>Limited</c:v>
                </c:pt>
                <c:pt idx="3">
                  <c:v>Very Limited</c:v>
                </c:pt>
              </c:strCache>
            </c:strRef>
          </c:cat>
          <c:val>
            <c:numRef>
              <c:f>'Graphs calc'!$E$9:$E$12</c:f>
              <c:numCache>
                <c:formatCode>General</c:formatCode>
                <c:ptCount val="4"/>
                <c:pt idx="1">
                  <c:v>4</c:v>
                </c:pt>
                <c:pt idx="2">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4078549272250072"/>
          <c:y val="0.27835606293796289"/>
          <c:w val="0.24822688073081775"/>
          <c:h val="0.6799773986585011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Verdana" panose="020B0604030504040204" pitchFamily="34" charset="0"/>
              <a:cs typeface="Verdana" panose="020B0604030504040204" pitchFamily="34" charset="0"/>
            </a:defRPr>
          </a:pPr>
          <a:endParaRPr lang="en-US"/>
        </a:p>
      </c:txPr>
    </c:title>
    <c:autoTitleDeleted val="0"/>
    <c:plotArea>
      <c:layout>
        <c:manualLayout>
          <c:layoutTarget val="inner"/>
          <c:xMode val="edge"/>
          <c:yMode val="edge"/>
          <c:x val="0.27971101268591425"/>
          <c:y val="0.2660153730783652"/>
          <c:w val="0.40989309930008749"/>
          <c:h val="0.56213910761154851"/>
        </c:manualLayout>
      </c:layout>
      <c:pieChart>
        <c:varyColors val="1"/>
        <c:ser>
          <c:idx val="0"/>
          <c:order val="0"/>
          <c:tx>
            <c:strRef>
              <c:f>'Graphs calc'!$D$8</c:f>
              <c:strCache>
                <c:ptCount val="1"/>
                <c:pt idx="0">
                  <c:v>Security of personal data
Domain rating summary</c:v>
                </c:pt>
              </c:strCache>
            </c:strRef>
          </c:tx>
          <c:dPt>
            <c:idx val="0"/>
            <c:bubble3D val="0"/>
            <c:spPr>
              <a:solidFill>
                <a:srgbClr val="00B050"/>
              </a:solidFill>
              <a:ln w="19050">
                <a:solidFill>
                  <a:schemeClr val="lt1"/>
                </a:solidFill>
              </a:ln>
              <a:effectLst/>
            </c:spPr>
          </c:dPt>
          <c:dPt>
            <c:idx val="1"/>
            <c:bubble3D val="0"/>
            <c:spPr>
              <a:solidFill>
                <a:srgbClr val="FFFF00"/>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rgbClr val="FF000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'Graphs calc'!$D$9:$D$12</c:f>
              <c:strCache>
                <c:ptCount val="4"/>
                <c:pt idx="0">
                  <c:v>High</c:v>
                </c:pt>
                <c:pt idx="1">
                  <c:v>Reasonable</c:v>
                </c:pt>
                <c:pt idx="2">
                  <c:v>Limited</c:v>
                </c:pt>
                <c:pt idx="3">
                  <c:v>Very Limited</c:v>
                </c:pt>
              </c:strCache>
            </c:strRef>
          </c:cat>
          <c:val>
            <c:numRef>
              <c:f>'Graphs calc'!$E$9:$E$12</c:f>
              <c:numCache>
                <c:formatCode>General</c:formatCode>
                <c:ptCount val="4"/>
                <c:pt idx="0">
                  <c:v>6</c:v>
                </c:pt>
                <c:pt idx="1">
                  <c:v>4</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71300770997375329"/>
          <c:y val="0.28912553613725112"/>
          <c:w val="0.28509569116360456"/>
          <c:h val="0.6133134882529928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Verdana" panose="020B0604030504040204" pitchFamily="34" charset="0"/>
              <a:cs typeface="Verdana" panose="020B0604030504040204" pitchFamily="34" charset="0"/>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4115266841644795"/>
          <c:y val="2.2130004190760635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Verdana" panose="020B0604030504040204" pitchFamily="34" charset="0"/>
              <a:cs typeface="Verdana" panose="020B0604030504040204" pitchFamily="34" charset="0"/>
            </a:defRPr>
          </a:pPr>
          <a:endParaRPr lang="en-US"/>
        </a:p>
      </c:txPr>
    </c:title>
    <c:autoTitleDeleted val="0"/>
    <c:plotArea>
      <c:layout>
        <c:manualLayout>
          <c:layoutTarget val="inner"/>
          <c:xMode val="edge"/>
          <c:yMode val="edge"/>
          <c:x val="0.29355010479805133"/>
          <c:y val="0.35734589251109966"/>
          <c:w val="0.39691258017208281"/>
          <c:h val="0.51561540788709825"/>
        </c:manualLayout>
      </c:layout>
      <c:pieChart>
        <c:varyColors val="1"/>
        <c:ser>
          <c:idx val="0"/>
          <c:order val="0"/>
          <c:tx>
            <c:strRef>
              <c:f>'Graphs calc'!$E$8</c:f>
              <c:strCache>
                <c:ptCount val="1"/>
                <c:pt idx="0">
                  <c:v>Data Sharing
Domain rating summary</c:v>
                </c:pt>
              </c:strCache>
            </c:strRef>
          </c:tx>
          <c:dPt>
            <c:idx val="0"/>
            <c:bubble3D val="0"/>
            <c:spPr>
              <a:solidFill>
                <a:srgbClr val="00B050"/>
              </a:solidFill>
              <a:ln w="19050">
                <a:solidFill>
                  <a:schemeClr val="lt1"/>
                </a:solidFill>
              </a:ln>
              <a:effectLst/>
            </c:spPr>
          </c:dPt>
          <c:dPt>
            <c:idx val="1"/>
            <c:bubble3D val="0"/>
            <c:spPr>
              <a:solidFill>
                <a:srgbClr val="FFFF00"/>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rgbClr val="FF000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'Graphs calc'!$D$9:$D$12</c:f>
              <c:strCache>
                <c:ptCount val="4"/>
                <c:pt idx="0">
                  <c:v>High</c:v>
                </c:pt>
                <c:pt idx="1">
                  <c:v>Reasonable</c:v>
                </c:pt>
                <c:pt idx="2">
                  <c:v>Limited</c:v>
                </c:pt>
                <c:pt idx="3">
                  <c:v>Very Limited</c:v>
                </c:pt>
              </c:strCache>
            </c:strRef>
          </c:cat>
          <c:val>
            <c:numRef>
              <c:f>'Graphs calc'!$E$9:$E$12</c:f>
              <c:numCache>
                <c:formatCode>General</c:formatCode>
                <c:ptCount val="4"/>
                <c:pt idx="1">
                  <c:v>5</c:v>
                </c:pt>
                <c:pt idx="2">
                  <c:v>2</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72624712819988413"/>
          <c:y val="0.24679967578261955"/>
          <c:w val="0.27185601799775028"/>
          <c:h val="0.6385050392063705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Verdana" panose="020B0604030504040204" pitchFamily="34" charset="0"/>
              <a:cs typeface="Verdana" panose="020B0604030504040204" pitchFamily="34" charset="0"/>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_x0020_classification xmlns="6495cd43-30b7-45da-972d-05dc6321e6bd">Official</Security_x0020_classification>
    <_dlc_DocId xmlns="6495cd43-30b7-45da-972d-05dc6321e6bd">REGUL-385160508-5928</_dlc_DocId>
    <_dlc_DocIdUrl xmlns="6495cd43-30b7-45da-972d-05dc6321e6bd">
      <Url>https://edrm/sites/reg/assur/Audit/_layouts/15/DocIdRedir.aspx?ID=REGUL-385160508-5928</Url>
      <Description>REGUL-385160508-5928</Description>
    </_dlc_DocIdUrl>
    <DLCPolicyLabelClientValue xmlns="6495cd43-30b7-45da-972d-05dc6321e6bd" xsi:nil="true"/>
    <DLCPolicyLabelLock xmlns="6495cd43-30b7-45da-972d-05dc6321e6bd" xsi:nil="true"/>
    <Document_x0020_date_time xmlns="6495cd43-30b7-45da-972d-05dc6321e6bd">2019-05-07T14:00:00+00:00</Document_x0020_date_time>
    <TaxCatchAll xmlns="6495cd43-30b7-45da-972d-05dc6321e6bd"/>
    <Financial_x0020_year xmlns="6495cd43-30b7-45da-972d-05dc6321e6bd">2018/19</Financial_x0020_year>
    <Audit_x0020_document_x0020_category xmlns="6495cd43-30b7-45da-972d-05dc6321e6bd">Final executive summary</Audit_x0020_document_x0020_category>
    <Initial_x0020_report_x0020_issued xmlns="6495cd43-30b7-45da-972d-05dc6321e6bd">true</Initial_x0020_report_x0020_issued>
    <Audit_x0020_sector xmlns="6495cd43-30b7-45da-972d-05dc6321e6bd">Police &amp; Criminal Justice</Audit_x0020_sector>
    <Follow_x0020_up_x0020_report_x0020_issued xmlns="6495cd43-30b7-45da-972d-05dc6321e6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udit document" ma:contentTypeID="0x01010020270C6529EA0544B2EFE190A98965FD00DA40BEAF1FBAA5439F78DC4119F6111E0015258D5E58825247B817A910095FF7E9" ma:contentTypeVersion="300" ma:contentTypeDescription="" ma:contentTypeScope="" ma:versionID="1d5ebdde0abdce31d71c5eb125420ba8">
  <xsd:schema xmlns:xsd="http://www.w3.org/2001/XMLSchema" xmlns:xs="http://www.w3.org/2001/XMLSchema" xmlns:p="http://schemas.microsoft.com/office/2006/metadata/properties" xmlns:ns2="6495cd43-30b7-45da-972d-05dc6321e6bd" targetNamespace="http://schemas.microsoft.com/office/2006/metadata/properties" ma:root="true" ma:fieldsID="b82a073be2460854826f94ce31325750" ns2:_="">
    <xsd:import namespace="6495cd43-30b7-45da-972d-05dc6321e6bd"/>
    <xsd:element name="properties">
      <xsd:complexType>
        <xsd:sequence>
          <xsd:element name="documentManagement">
            <xsd:complexType>
              <xsd:all>
                <xsd:element ref="ns2:Document_x0020_date_time" minOccurs="0"/>
                <xsd:element ref="ns2:Audit_x0020_document_x0020_category"/>
                <xsd:element ref="ns2:Security_x0020_classification"/>
                <xsd:element ref="ns2:_dlc_DocId" minOccurs="0"/>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Initial_x0020_report_x0020_issued" minOccurs="0"/>
                <xsd:element ref="ns2:Follow_x0020_up_x0020_report_x0020_issued" minOccurs="0"/>
                <xsd:element ref="ns2:Audit_x0020_sector"/>
                <xsd:element ref="ns2:Financial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Document_x0020_date_time" ma:index="2" nillable="true" ma:displayName="Document date_time" ma:format="DateTime" ma:internalName="Document_x0020_date_time">
      <xsd:simpleType>
        <xsd:restriction base="dms:DateTime"/>
      </xsd:simpleType>
    </xsd:element>
    <xsd:element name="Audit_x0020_document_x0020_category" ma:index="3" ma:displayName="Audit document category" ma:format="Dropdown" ma:internalName="Audit_x0020_document_x0020_category">
      <xsd:simpleType>
        <xsd:restriction base="dms:Choice">
          <xsd:enumeration value="Audit planning document"/>
          <xsd:enumeration value="Correspondence - external"/>
          <xsd:enumeration value="Correspondence - internal"/>
          <xsd:enumeration value="Draft audit reports and action plan"/>
          <xsd:enumeration value="Draft follow up report"/>
          <xsd:enumeration value="Evidence - DS"/>
          <xsd:enumeration value="Evidence - FOI"/>
          <xsd:enumeration value="Evidence - general"/>
          <xsd:enumeration value="Evidence - GOV"/>
          <xsd:enumeration value="Evidence - IR"/>
          <xsd:enumeration value="Evidence - IRM"/>
          <xsd:enumeration value="Evidence - RM"/>
          <xsd:enumeration value="Evidence - SAR"/>
          <xsd:enumeration value="Evidence - SEC"/>
          <xsd:enumeration value="Evidence - TRA"/>
          <xsd:enumeration value="Evidence - uncategorised"/>
          <xsd:enumeration value="Final action plan"/>
          <xsd:enumeration value="Final audit report"/>
          <xsd:enumeration value="Final executive summary"/>
          <xsd:enumeration value="Final follow up report"/>
          <xsd:enumeration value="Signed LoE"/>
          <xsd:enumeration value="Travel"/>
          <xsd:enumeration value="Working paper"/>
        </xsd:restriction>
      </xsd:simpleType>
    </xsd:element>
    <xsd:element name="Security_x0020_classification" ma:index="4" ma:displayName="Security classification" ma:default="Official" ma:format="Dropdown" ma:internalName="Security_x0020_classification">
      <xsd:simpleType>
        <xsd:restriction base="dms:Choice">
          <xsd:enumeration value="Official"/>
          <xsd:enumeration value="Official - sensitive"/>
        </xsd:restriction>
      </xsd:simpleType>
    </xsd:element>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TaxCatchAll" ma:index="8" nillable="true" ma:displayName="Taxonomy Catch All Column" ma:description="" ma:hidden="true" ma:list="{381341bf-c8e6-43de-af77-b1a9971c6256}" ma:internalName="TaxCatchAll" ma:showField="CatchAllData"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381341bf-c8e6-43de-af77-b1a9971c6256}" ma:internalName="TaxCatchAllLabel" ma:readOnly="true" ma:showField="CatchAllDataLabel"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DLCPolicyLabelValue" ma:index="1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element name="Initial_x0020_report_x0020_issued" ma:index="19" nillable="true" ma:displayName="Initial report issued" ma:default="0" ma:internalName="Initial_x0020_report_x0020_issued">
      <xsd:simpleType>
        <xsd:restriction base="dms:Boolean"/>
      </xsd:simpleType>
    </xsd:element>
    <xsd:element name="Follow_x0020_up_x0020_report_x0020_issued" ma:index="20" nillable="true" ma:displayName="Follow up report issued" ma:format="DateOnly" ma:internalName="Follow_x0020_up_x0020_report_x0020_issued">
      <xsd:simpleType>
        <xsd:restriction base="dms:DateTime"/>
      </xsd:simpleType>
    </xsd:element>
    <xsd:element name="Audit_x0020_sector" ma:index="21" ma:displayName="Audit sector" ma:format="Dropdown" ma:internalName="Audit_x0020_sector">
      <xsd:simpleType>
        <xsd:restriction base="dms:Choice">
          <xsd:enumeration value="Audit Enquiry"/>
          <xsd:enumeration value="Central Government"/>
          <xsd:enumeration value="Education"/>
          <xsd:enumeration value="Health"/>
          <xsd:enumeration value="Local Authority"/>
          <xsd:enumeration value="Other"/>
          <xsd:enumeration value="PECR"/>
          <xsd:enumeration value="Police &amp; Criminal Justice"/>
        </xsd:restriction>
      </xsd:simpleType>
    </xsd:element>
    <xsd:element name="Financial_x0020_year" ma:index="22" ma:displayName="Financial year" ma:internalName="Financial_x0020_yea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fc18c49-0394-481a-ba4a-a4ceacd0e392" ContentTypeId="0x01010020270C6529EA0544B2EFE190A98965FD00DA40BEAF1FBAA5439F78DC4119F6111E"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8DAB5-9D0D-4F26-AFB5-C0F8F5437D39}">
  <ds:schemaRefs>
    <ds:schemaRef ds:uri="http://schemas.microsoft.com/sharepoint/v3/contenttype/forms"/>
  </ds:schemaRefs>
</ds:datastoreItem>
</file>

<file path=customXml/itemProps2.xml><?xml version="1.0" encoding="utf-8"?>
<ds:datastoreItem xmlns:ds="http://schemas.openxmlformats.org/officeDocument/2006/customXml" ds:itemID="{0F4F20AA-0469-49E1-A36B-B22BF70CD920}">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6495cd43-30b7-45da-972d-05dc6321e6bd"/>
    <ds:schemaRef ds:uri="http://schemas.microsoft.com/office/2006/metadata/properties"/>
  </ds:schemaRefs>
</ds:datastoreItem>
</file>

<file path=customXml/itemProps3.xml><?xml version="1.0" encoding="utf-8"?>
<ds:datastoreItem xmlns:ds="http://schemas.openxmlformats.org/officeDocument/2006/customXml" ds:itemID="{47045713-8EFA-439D-9979-059E08FF9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6B1C5-3C24-483F-A725-9F346A6E3E9A}">
  <ds:schemaRefs>
    <ds:schemaRef ds:uri="Microsoft.SharePoint.Taxonomy.ContentTypeSync"/>
  </ds:schemaRefs>
</ds:datastoreItem>
</file>

<file path=customXml/itemProps5.xml><?xml version="1.0" encoding="utf-8"?>
<ds:datastoreItem xmlns:ds="http://schemas.openxmlformats.org/officeDocument/2006/customXml" ds:itemID="{DA500AA6-B8EE-4835-8219-9DEC49250CF6}">
  <ds:schemaRefs>
    <ds:schemaRef ds:uri="http://schemas.microsoft.com/sharepoint/events"/>
  </ds:schemaRefs>
</ds:datastoreItem>
</file>

<file path=customXml/itemProps6.xml><?xml version="1.0" encoding="utf-8"?>
<ds:datastoreItem xmlns:ds="http://schemas.openxmlformats.org/officeDocument/2006/customXml" ds:itemID="{E8C86B19-A329-44D9-A303-D3C10950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89507CB7</Template>
  <TotalTime>0</TotalTime>
  <Pages>9</Pages>
  <Words>1322</Words>
  <Characters>7537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Derbyshire Police Final Audit Report Executive Summary v 1.0</vt:lpstr>
    </vt:vector>
  </TitlesOfParts>
  <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Police Final Audit Report Executive Summary v 1.0</dc:title>
  <dc:subject>Data protection audit report</dc:subject>
  <dc:creator>Jonathan Covell</dc:creator>
  <cp:lastModifiedBy>Katie Makepeace-Warne</cp:lastModifiedBy>
  <cp:revision>2</cp:revision>
  <cp:lastPrinted>2017-06-09T10:23:00Z</cp:lastPrinted>
  <dcterms:created xsi:type="dcterms:W3CDTF">2019-05-16T12:47:00Z</dcterms:created>
  <dcterms:modified xsi:type="dcterms:W3CDTF">2019-05-16T12:47:00Z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0x01010020270C6529EA0544B2EFE190A98965FD00DA40BEAF1FBAA5439F78DC4119F6111E0015258D5E58825247B817A910095FF7E9</vt:lpwstr>
  </property>
  <property fmtid="{D5CDD505-2E9C-101B-9397-08002B2CF9AE}" pid="3" name="_dlc_DocIdItemGuid">
    <vt:lpwstr>a82a305e-db25-4cf8-84d3-c3915e7c3d63</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ocset_NoMedatataSyncRequired">
    <vt:lpwstr>False</vt:lpwstr>
  </property>
  <property fmtid="{D5CDD505-2E9C-101B-9397-08002B2CF9AE}" pid="8" name="SharedWithUsers">
    <vt:lpwstr>71;#Simon Lochery;#184;#Charlotte McKillop;#789;#Julie Wood</vt:lpwstr>
  </property>
</Properties>
</file>