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DF6E7" w14:textId="347B7CF7" w:rsidR="00B518D3" w:rsidRDefault="00B518D3" w:rsidP="00B518D3">
      <w:pPr>
        <w:pStyle w:val="Heading1"/>
      </w:pPr>
      <w:r>
        <w:t>Audit and Risk Committee Annual Report 2024/25</w:t>
      </w:r>
    </w:p>
    <w:p w14:paraId="427B2F1D" w14:textId="2844BC59" w:rsidR="00B518D3" w:rsidRPr="00B518D3" w:rsidRDefault="00B518D3" w:rsidP="00B518D3">
      <w:pPr>
        <w:pStyle w:val="Heading2"/>
      </w:pPr>
      <w:r>
        <w:t>Introduction</w:t>
      </w:r>
    </w:p>
    <w:p w14:paraId="10751530" w14:textId="59D28C9E" w:rsidR="00B518D3" w:rsidRDefault="00B518D3" w:rsidP="00B518D3">
      <w:pPr>
        <w:rPr>
          <w:lang w:eastAsia="en-GB"/>
        </w:rPr>
      </w:pPr>
      <w:r>
        <w:rPr>
          <w:lang w:eastAsia="en-GB"/>
        </w:rPr>
        <w:t xml:space="preserve">The Information Commissioner’s Audit and Risk Committee (“the Committee”) provides scrutiny, oversight and assurance of risk control and governance procedures. Minutes of its meetings are available on the </w:t>
      </w:r>
      <w:hyperlink r:id="rId11" w:history="1">
        <w:r w:rsidRPr="00B518D3">
          <w:rPr>
            <w:rStyle w:val="Hyperlink"/>
            <w:lang w:eastAsia="en-GB"/>
          </w:rPr>
          <w:t>ARC page of the ICO’s website</w:t>
        </w:r>
      </w:hyperlink>
      <w:r>
        <w:rPr>
          <w:lang w:eastAsia="en-GB"/>
        </w:rPr>
        <w:t>.</w:t>
      </w:r>
    </w:p>
    <w:p w14:paraId="79CF69B8" w14:textId="76BA91C0" w:rsidR="00273A28" w:rsidRDefault="00B518D3" w:rsidP="00B518D3">
      <w:pPr>
        <w:rPr>
          <w:lang w:eastAsia="en-GB"/>
        </w:rPr>
      </w:pPr>
      <w:r>
        <w:rPr>
          <w:lang w:eastAsia="en-GB"/>
        </w:rPr>
        <w:t xml:space="preserve">This report was agreed at the Committee’s </w:t>
      </w:r>
      <w:r w:rsidRPr="00051634">
        <w:rPr>
          <w:lang w:eastAsia="en-GB"/>
        </w:rPr>
        <w:t>meeting on 16 June 2025. It covers the Committee’s work during the period April 2024 to March 2025, with additional detail about any reports received in April 2025 and June 2025 relating to work completed in respect of the year</w:t>
      </w:r>
      <w:r w:rsidRPr="00B518D3">
        <w:rPr>
          <w:lang w:eastAsia="en-GB"/>
        </w:rPr>
        <w:t xml:space="preserve"> 2024/25</w:t>
      </w:r>
      <w:r w:rsidR="00333698" w:rsidRPr="00B518D3">
        <w:rPr>
          <w:lang w:eastAsia="en-GB"/>
        </w:rPr>
        <w:t>.</w:t>
      </w:r>
    </w:p>
    <w:p w14:paraId="0A0316BC" w14:textId="77777777" w:rsidR="00B518D3" w:rsidRDefault="00B518D3" w:rsidP="00B518D3">
      <w:pPr>
        <w:pStyle w:val="Heading2"/>
      </w:pPr>
      <w:r w:rsidRPr="00B518D3">
        <w:t xml:space="preserve">Membership and attendance  </w:t>
      </w:r>
    </w:p>
    <w:p w14:paraId="59F74FC1" w14:textId="77777777" w:rsidR="00B518D3" w:rsidRDefault="00B518D3" w:rsidP="00B518D3">
      <w:pPr>
        <w:rPr>
          <w:lang w:eastAsia="en-GB"/>
        </w:rPr>
      </w:pPr>
      <w:r>
        <w:rPr>
          <w:lang w:eastAsia="en-GB"/>
        </w:rPr>
        <w:t>The Committee’s chair is Ailsa Beaton, who is a Non-Executive Director and member of the Management Board.</w:t>
      </w:r>
    </w:p>
    <w:p w14:paraId="7FBB957F" w14:textId="77777777" w:rsidR="00B518D3" w:rsidRDefault="00B518D3" w:rsidP="00B518D3">
      <w:pPr>
        <w:rPr>
          <w:lang w:eastAsia="en-GB"/>
        </w:rPr>
      </w:pPr>
      <w:r>
        <w:rPr>
          <w:lang w:eastAsia="en-GB"/>
        </w:rPr>
        <w:t>There are two other members:</w:t>
      </w:r>
    </w:p>
    <w:p w14:paraId="5A63290A" w14:textId="77777777" w:rsidR="00B518D3" w:rsidRDefault="00B518D3" w:rsidP="00B518D3">
      <w:pPr>
        <w:ind w:left="426" w:hanging="426"/>
        <w:rPr>
          <w:lang w:eastAsia="en-GB"/>
        </w:rPr>
      </w:pPr>
      <w:r>
        <w:rPr>
          <w:lang w:eastAsia="en-GB"/>
        </w:rPr>
        <w:t>•</w:t>
      </w:r>
      <w:r>
        <w:rPr>
          <w:lang w:eastAsia="en-GB"/>
        </w:rPr>
        <w:tab/>
        <w:t>an Independent Member - Jayne Scott; and</w:t>
      </w:r>
    </w:p>
    <w:p w14:paraId="292A40DF" w14:textId="77777777" w:rsidR="00B518D3" w:rsidRDefault="00B518D3" w:rsidP="00B518D3">
      <w:pPr>
        <w:ind w:left="426" w:hanging="426"/>
        <w:rPr>
          <w:lang w:eastAsia="en-GB"/>
        </w:rPr>
      </w:pPr>
      <w:r>
        <w:rPr>
          <w:lang w:eastAsia="en-GB"/>
        </w:rPr>
        <w:t>•</w:t>
      </w:r>
      <w:r>
        <w:rPr>
          <w:lang w:eastAsia="en-GB"/>
        </w:rPr>
        <w:tab/>
        <w:t>a Non-Executive Director who is also a member of the Management Board – David Cooke.</w:t>
      </w:r>
    </w:p>
    <w:p w14:paraId="5507757D" w14:textId="77777777" w:rsidR="00B518D3" w:rsidRDefault="00B518D3" w:rsidP="00B518D3">
      <w:pPr>
        <w:rPr>
          <w:lang w:eastAsia="en-GB"/>
        </w:rPr>
      </w:pPr>
      <w:r>
        <w:rPr>
          <w:lang w:eastAsia="en-GB"/>
        </w:rPr>
        <w:t>In 2024/25, the Committee met on 25 April 2024, 20 June 2024, 17 October 2024 and 23 January 2025. Attendance of members at Committee meetings is detailed in the ICO’s Annual Report and Accounts 2024/25. Secretariat for the meetings was provided by the Corporate Governance Team.</w:t>
      </w:r>
    </w:p>
    <w:p w14:paraId="1A332B62" w14:textId="77777777" w:rsidR="00B518D3" w:rsidRDefault="00B518D3" w:rsidP="00B518D3">
      <w:pPr>
        <w:rPr>
          <w:lang w:eastAsia="en-GB"/>
        </w:rPr>
      </w:pPr>
      <w:r>
        <w:rPr>
          <w:lang w:eastAsia="en-GB"/>
        </w:rPr>
        <w:t xml:space="preserve">Representatives of external audit and internal audit attended all of the meetings and meet confidentially with the Committee members prior to each meeting. </w:t>
      </w:r>
    </w:p>
    <w:p w14:paraId="408C4B09" w14:textId="72AEEA4A" w:rsidR="00121366" w:rsidRDefault="00B518D3" w:rsidP="00B518D3">
      <w:pPr>
        <w:rPr>
          <w:lang w:eastAsia="en-GB"/>
        </w:rPr>
      </w:pPr>
      <w:r>
        <w:rPr>
          <w:lang w:eastAsia="en-GB"/>
        </w:rPr>
        <w:t>The ICO’s external audit function in 2024/25 was provided by the National Audit Office (NAO) with Deloitte working on their behalf. The ICO’s internal audit function in 2024/25 was provided by the Government Internal Audit Agency (GIAA) – the second year of a four year appointment.</w:t>
      </w:r>
    </w:p>
    <w:p w14:paraId="7DB0E42E" w14:textId="38919DAF" w:rsidR="00B518D3" w:rsidRDefault="00B518D3" w:rsidP="00B518D3">
      <w:pPr>
        <w:pStyle w:val="Heading2"/>
      </w:pPr>
      <w:r w:rsidRPr="00B518D3">
        <w:lastRenderedPageBreak/>
        <w:t>Meetings during 202</w:t>
      </w:r>
      <w:r>
        <w:t>4</w:t>
      </w:r>
      <w:r w:rsidRPr="00B518D3">
        <w:t>/2</w:t>
      </w:r>
      <w:r>
        <w:t>5</w:t>
      </w:r>
    </w:p>
    <w:p w14:paraId="2E415813" w14:textId="77777777" w:rsidR="00B518D3" w:rsidRPr="00B518D3" w:rsidRDefault="00B518D3" w:rsidP="005B3066">
      <w:pPr>
        <w:ind w:left="426" w:hanging="426"/>
      </w:pPr>
      <w:r w:rsidRPr="00B518D3">
        <w:t xml:space="preserve">The </w:t>
      </w:r>
      <w:r w:rsidRPr="00B518D3">
        <w:rPr>
          <w:lang w:eastAsia="en-GB"/>
        </w:rPr>
        <w:t>Committee</w:t>
      </w:r>
      <w:r w:rsidRPr="00B518D3">
        <w:t xml:space="preserve"> considers the following issues as standing items at all of its meetings:</w:t>
      </w:r>
    </w:p>
    <w:p w14:paraId="1BDC93F7" w14:textId="77777777" w:rsidR="00B518D3" w:rsidRPr="00B518D3" w:rsidRDefault="00B518D3" w:rsidP="00B518D3">
      <w:pPr>
        <w:ind w:left="426" w:hanging="426"/>
        <w:rPr>
          <w:lang w:eastAsia="en-GB"/>
        </w:rPr>
      </w:pPr>
      <w:r w:rsidRPr="00B518D3">
        <w:rPr>
          <w:lang w:eastAsia="en-GB"/>
        </w:rPr>
        <w:t>•</w:t>
      </w:r>
      <w:r w:rsidRPr="00B518D3">
        <w:rPr>
          <w:lang w:eastAsia="en-GB"/>
        </w:rPr>
        <w:tab/>
        <w:t>update on current ICO issues from the Information Commissioner or Deputy Chief Executive Officer;</w:t>
      </w:r>
    </w:p>
    <w:p w14:paraId="78253402" w14:textId="77777777" w:rsidR="00B518D3" w:rsidRPr="00B518D3" w:rsidRDefault="00B518D3" w:rsidP="00B518D3">
      <w:pPr>
        <w:ind w:left="426" w:hanging="426"/>
        <w:rPr>
          <w:lang w:eastAsia="en-GB"/>
        </w:rPr>
      </w:pPr>
      <w:r w:rsidRPr="00B518D3">
        <w:rPr>
          <w:lang w:eastAsia="en-GB"/>
        </w:rPr>
        <w:t>•</w:t>
      </w:r>
      <w:r w:rsidRPr="00B518D3">
        <w:rPr>
          <w:lang w:eastAsia="en-GB"/>
        </w:rPr>
        <w:tab/>
        <w:t>updates to the corporate risk register;</w:t>
      </w:r>
    </w:p>
    <w:p w14:paraId="4649234B" w14:textId="77777777" w:rsidR="00B518D3" w:rsidRPr="00B518D3" w:rsidRDefault="00B518D3" w:rsidP="00B518D3">
      <w:pPr>
        <w:ind w:left="426" w:hanging="426"/>
        <w:rPr>
          <w:lang w:eastAsia="en-GB"/>
        </w:rPr>
      </w:pPr>
      <w:r w:rsidRPr="00B518D3">
        <w:rPr>
          <w:lang w:eastAsia="en-GB"/>
        </w:rPr>
        <w:t>•</w:t>
      </w:r>
      <w:r w:rsidRPr="00B518D3">
        <w:rPr>
          <w:lang w:eastAsia="en-GB"/>
        </w:rPr>
        <w:tab/>
        <w:t>the most recent monthly income and expenditure report;</w:t>
      </w:r>
    </w:p>
    <w:p w14:paraId="7EDBC3BE" w14:textId="77777777" w:rsidR="00B518D3" w:rsidRPr="00B518D3" w:rsidRDefault="00B518D3" w:rsidP="00B518D3">
      <w:pPr>
        <w:ind w:left="426" w:hanging="426"/>
        <w:rPr>
          <w:lang w:eastAsia="en-GB"/>
        </w:rPr>
      </w:pPr>
      <w:r w:rsidRPr="00B518D3">
        <w:rPr>
          <w:lang w:eastAsia="en-GB"/>
        </w:rPr>
        <w:t>•</w:t>
      </w:r>
      <w:r w:rsidRPr="00B518D3">
        <w:rPr>
          <w:lang w:eastAsia="en-GB"/>
        </w:rPr>
        <w:tab/>
        <w:t>progress reports from the internal and external auditors;</w:t>
      </w:r>
    </w:p>
    <w:p w14:paraId="4FF14583" w14:textId="77777777" w:rsidR="00B518D3" w:rsidRPr="00B518D3" w:rsidRDefault="00B518D3" w:rsidP="00B518D3">
      <w:pPr>
        <w:ind w:left="426" w:hanging="426"/>
        <w:rPr>
          <w:lang w:eastAsia="en-GB"/>
        </w:rPr>
      </w:pPr>
      <w:r w:rsidRPr="00B518D3">
        <w:rPr>
          <w:lang w:eastAsia="en-GB"/>
        </w:rPr>
        <w:t>•</w:t>
      </w:r>
      <w:r w:rsidRPr="00B518D3">
        <w:rPr>
          <w:lang w:eastAsia="en-GB"/>
        </w:rPr>
        <w:tab/>
        <w:t>discussion of audit reports and progress in completing recommendations from internal and external audits;</w:t>
      </w:r>
    </w:p>
    <w:p w14:paraId="7604853C" w14:textId="77777777" w:rsidR="00B518D3" w:rsidRPr="00B518D3" w:rsidRDefault="00B518D3" w:rsidP="00B518D3">
      <w:pPr>
        <w:ind w:left="426" w:hanging="426"/>
        <w:rPr>
          <w:lang w:eastAsia="en-GB"/>
        </w:rPr>
      </w:pPr>
      <w:r w:rsidRPr="00B518D3">
        <w:rPr>
          <w:lang w:eastAsia="en-GB"/>
        </w:rPr>
        <w:t>•</w:t>
      </w:r>
      <w:r w:rsidRPr="00B518D3">
        <w:rPr>
          <w:lang w:eastAsia="en-GB"/>
        </w:rPr>
        <w:tab/>
        <w:t>reports on any single-tender contract awards over £25k; and</w:t>
      </w:r>
    </w:p>
    <w:p w14:paraId="2678360D" w14:textId="77777777" w:rsidR="00B518D3" w:rsidRPr="00B518D3" w:rsidRDefault="00B518D3" w:rsidP="00B518D3">
      <w:pPr>
        <w:ind w:left="426" w:hanging="426"/>
        <w:rPr>
          <w:lang w:eastAsia="en-GB"/>
        </w:rPr>
      </w:pPr>
      <w:r w:rsidRPr="00B518D3">
        <w:rPr>
          <w:lang w:eastAsia="en-GB"/>
        </w:rPr>
        <w:t>•</w:t>
      </w:r>
      <w:r w:rsidRPr="00B518D3">
        <w:rPr>
          <w:lang w:eastAsia="en-GB"/>
        </w:rPr>
        <w:tab/>
        <w:t>updates on whether there have been any reported whistleblowing, fraud, insider trading or security incidents, and details of these where appropriate.</w:t>
      </w:r>
    </w:p>
    <w:p w14:paraId="6CBE4FE3" w14:textId="77777777" w:rsidR="00B518D3" w:rsidRPr="00B518D3" w:rsidRDefault="00B518D3" w:rsidP="00B518D3">
      <w:pPr>
        <w:pStyle w:val="Heading2"/>
        <w:rPr>
          <w:rFonts w:ascii="Verdana" w:eastAsiaTheme="minorHAnsi" w:hAnsi="Verdana" w:cstheme="minorBidi"/>
          <w:bCs w:val="0"/>
          <w:color w:val="auto"/>
          <w:spacing w:val="0"/>
          <w:kern w:val="0"/>
          <w:sz w:val="24"/>
          <w:szCs w:val="22"/>
          <w:lang w:eastAsia="en-US"/>
        </w:rPr>
      </w:pPr>
      <w:r w:rsidRPr="00B518D3">
        <w:rPr>
          <w:rFonts w:ascii="Verdana" w:eastAsiaTheme="minorHAnsi" w:hAnsi="Verdana" w:cstheme="minorBidi"/>
          <w:bCs w:val="0"/>
          <w:color w:val="auto"/>
          <w:spacing w:val="0"/>
          <w:kern w:val="0"/>
          <w:sz w:val="24"/>
          <w:szCs w:val="22"/>
          <w:lang w:eastAsia="en-US"/>
        </w:rPr>
        <w:t>In addition, during the year the Committee considered the following matters:</w:t>
      </w:r>
    </w:p>
    <w:p w14:paraId="5C0B9606" w14:textId="77777777" w:rsidR="00B518D3" w:rsidRPr="00B518D3" w:rsidRDefault="00B518D3" w:rsidP="00B518D3">
      <w:pPr>
        <w:ind w:left="426" w:hanging="426"/>
        <w:rPr>
          <w:lang w:eastAsia="en-GB"/>
        </w:rPr>
      </w:pPr>
      <w:r w:rsidRPr="00B518D3">
        <w:rPr>
          <w:lang w:eastAsia="en-GB"/>
        </w:rPr>
        <w:t>•</w:t>
      </w:r>
      <w:r w:rsidRPr="00B518D3">
        <w:rPr>
          <w:lang w:eastAsia="en-GB"/>
        </w:rPr>
        <w:tab/>
        <w:t xml:space="preserve">the Annual Report &amp; Accounts for 2023/24 were considered during the year, and the Annual Report &amp; Accounts for 2024/25 have been considered at subsequent meetings in April </w:t>
      </w:r>
      <w:r w:rsidRPr="00051634">
        <w:rPr>
          <w:lang w:eastAsia="en-GB"/>
        </w:rPr>
        <w:t>2025 and June 2025</w:t>
      </w:r>
      <w:r w:rsidRPr="00B518D3">
        <w:rPr>
          <w:lang w:eastAsia="en-GB"/>
        </w:rPr>
        <w:t>;</w:t>
      </w:r>
    </w:p>
    <w:p w14:paraId="43874703" w14:textId="77777777" w:rsidR="00B518D3" w:rsidRPr="00B518D3" w:rsidRDefault="00B518D3" w:rsidP="00B518D3">
      <w:pPr>
        <w:ind w:left="426" w:hanging="426"/>
        <w:rPr>
          <w:lang w:eastAsia="en-GB"/>
        </w:rPr>
      </w:pPr>
      <w:r w:rsidRPr="00B518D3">
        <w:rPr>
          <w:lang w:eastAsia="en-GB"/>
        </w:rPr>
        <w:t>•</w:t>
      </w:r>
      <w:r w:rsidRPr="00B518D3">
        <w:rPr>
          <w:lang w:eastAsia="en-GB"/>
        </w:rPr>
        <w:tab/>
        <w:t>lessons learned from the production of the 2023/24 annual report;</w:t>
      </w:r>
    </w:p>
    <w:p w14:paraId="749E155F" w14:textId="77777777" w:rsidR="00B518D3" w:rsidRDefault="00B518D3" w:rsidP="00B518D3">
      <w:pPr>
        <w:ind w:left="426" w:hanging="426"/>
        <w:rPr>
          <w:lang w:eastAsia="en-GB"/>
        </w:rPr>
      </w:pPr>
      <w:r w:rsidRPr="00B518D3">
        <w:rPr>
          <w:lang w:eastAsia="en-GB"/>
        </w:rPr>
        <w:t>•</w:t>
      </w:r>
      <w:r w:rsidRPr="00B518D3">
        <w:rPr>
          <w:lang w:eastAsia="en-GB"/>
        </w:rPr>
        <w:tab/>
        <w:t>approach to the production of the 2024/25 annual report, a summary of any changes to accounting standards, and a summary of specialist reports to be commissioned from third parties on areas of particular judgements, estimates or valuations.</w:t>
      </w:r>
      <w:r>
        <w:rPr>
          <w:lang w:eastAsia="en-GB"/>
        </w:rPr>
        <w:t xml:space="preserve"> </w:t>
      </w:r>
    </w:p>
    <w:p w14:paraId="1239783B" w14:textId="0482DB24" w:rsidR="00B518D3" w:rsidRDefault="00B518D3" w:rsidP="00051634">
      <w:pPr>
        <w:ind w:left="426" w:hanging="426"/>
        <w:rPr>
          <w:lang w:eastAsia="en-GB"/>
        </w:rPr>
      </w:pPr>
      <w:r w:rsidRPr="00B518D3">
        <w:rPr>
          <w:lang w:eastAsia="en-GB"/>
        </w:rPr>
        <w:t>•</w:t>
      </w:r>
      <w:r w:rsidRPr="00B518D3">
        <w:rPr>
          <w:lang w:eastAsia="en-GB"/>
        </w:rPr>
        <w:tab/>
        <w:t>the NAO’s Audit and Risk Assurance Committee effectiveness tool, and a ‘light touch’ review of the Committee’s effectiveness;</w:t>
      </w:r>
      <w:r>
        <w:rPr>
          <w:lang w:eastAsia="en-GB"/>
        </w:rPr>
        <w:t xml:space="preserve"> </w:t>
      </w:r>
    </w:p>
    <w:p w14:paraId="23C10321" w14:textId="5BE23A0C" w:rsidR="00B518D3" w:rsidRDefault="00B518D3" w:rsidP="00B518D3">
      <w:pPr>
        <w:ind w:left="426" w:hanging="426"/>
        <w:rPr>
          <w:lang w:eastAsia="en-GB"/>
        </w:rPr>
      </w:pPr>
      <w:r w:rsidRPr="00B518D3">
        <w:rPr>
          <w:lang w:eastAsia="en-GB"/>
        </w:rPr>
        <w:t>•</w:t>
      </w:r>
      <w:r w:rsidRPr="00B518D3">
        <w:rPr>
          <w:lang w:eastAsia="en-GB"/>
        </w:rPr>
        <w:tab/>
        <w:t>internal audit plan</w:t>
      </w:r>
      <w:r w:rsidR="005B3066">
        <w:rPr>
          <w:lang w:eastAsia="en-GB"/>
        </w:rPr>
        <w:t>s</w:t>
      </w:r>
      <w:r w:rsidRPr="00B518D3">
        <w:rPr>
          <w:lang w:eastAsia="en-GB"/>
        </w:rPr>
        <w:t xml:space="preserve"> for 2024/</w:t>
      </w:r>
      <w:r w:rsidRPr="00A04531">
        <w:rPr>
          <w:lang w:eastAsia="en-GB"/>
        </w:rPr>
        <w:t>25</w:t>
      </w:r>
      <w:r w:rsidR="005B3066" w:rsidRPr="00A04531">
        <w:rPr>
          <w:lang w:eastAsia="en-GB"/>
        </w:rPr>
        <w:t xml:space="preserve">, </w:t>
      </w:r>
      <w:r w:rsidRPr="00A04531">
        <w:rPr>
          <w:lang w:eastAsia="en-GB"/>
        </w:rPr>
        <w:t>as well as proposals for the 2025/26 audit plan and an indicative three-year internal audit pla</w:t>
      </w:r>
      <w:r w:rsidR="005B3066" w:rsidRPr="00A04531">
        <w:rPr>
          <w:lang w:eastAsia="en-GB"/>
        </w:rPr>
        <w:t>n</w:t>
      </w:r>
      <w:r w:rsidRPr="00A04531">
        <w:rPr>
          <w:lang w:eastAsia="en-GB"/>
        </w:rPr>
        <w:t>;</w:t>
      </w:r>
      <w:r>
        <w:rPr>
          <w:lang w:eastAsia="en-GB"/>
        </w:rPr>
        <w:t xml:space="preserve"> </w:t>
      </w:r>
    </w:p>
    <w:p w14:paraId="5064E87D" w14:textId="77777777" w:rsidR="00B518D3" w:rsidRDefault="00B518D3" w:rsidP="00B518D3">
      <w:pPr>
        <w:ind w:left="426" w:hanging="426"/>
        <w:rPr>
          <w:lang w:eastAsia="en-GB"/>
        </w:rPr>
      </w:pPr>
      <w:r w:rsidRPr="00B518D3">
        <w:rPr>
          <w:lang w:eastAsia="en-GB"/>
        </w:rPr>
        <w:t>•</w:t>
      </w:r>
      <w:r w:rsidRPr="00B518D3">
        <w:rPr>
          <w:lang w:eastAsia="en-GB"/>
        </w:rPr>
        <w:tab/>
        <w:t>an update on the ICO’s approach to risk management, an annual review of the full risk register and an annual review of the Risk Management Policy and Risk Appetite Statement;</w:t>
      </w:r>
      <w:r>
        <w:rPr>
          <w:lang w:eastAsia="en-GB"/>
        </w:rPr>
        <w:t xml:space="preserve"> </w:t>
      </w:r>
    </w:p>
    <w:p w14:paraId="12D3F86E" w14:textId="21BBBECA" w:rsidR="005B3066" w:rsidRDefault="00B518D3" w:rsidP="005B3066">
      <w:pPr>
        <w:ind w:left="426" w:hanging="426"/>
        <w:rPr>
          <w:lang w:eastAsia="en-GB"/>
        </w:rPr>
      </w:pPr>
      <w:r w:rsidRPr="00B518D3">
        <w:rPr>
          <w:lang w:eastAsia="en-GB"/>
        </w:rPr>
        <w:t>•</w:t>
      </w:r>
      <w:r w:rsidRPr="00B518D3">
        <w:rPr>
          <w:lang w:eastAsia="en-GB"/>
        </w:rPr>
        <w:tab/>
        <w:t xml:space="preserve">information on business continuity, including the annual update to the strategy statement; </w:t>
      </w:r>
    </w:p>
    <w:p w14:paraId="1F04F498" w14:textId="5121A56C" w:rsidR="00B518D3" w:rsidRPr="00B518D3" w:rsidRDefault="00B518D3" w:rsidP="005B3066">
      <w:pPr>
        <w:pStyle w:val="ListParagraph"/>
        <w:numPr>
          <w:ilvl w:val="0"/>
          <w:numId w:val="28"/>
        </w:numPr>
        <w:ind w:left="426" w:hanging="426"/>
        <w:rPr>
          <w:lang w:eastAsia="en-GB"/>
        </w:rPr>
      </w:pPr>
      <w:r w:rsidRPr="00B518D3">
        <w:rPr>
          <w:lang w:eastAsia="en-GB"/>
        </w:rPr>
        <w:t xml:space="preserve">deep dives into the arrangements that are in place to consider financial scenarios during the budget-setting process; and to provide </w:t>
      </w:r>
      <w:r w:rsidRPr="00B518D3">
        <w:rPr>
          <w:lang w:eastAsia="en-GB"/>
        </w:rPr>
        <w:lastRenderedPageBreak/>
        <w:t>assurance on the ICO’s compliance with all legislative requirements; and to provide assurance on the ICO’s compliance with Government functional standards at 31 March 2025;</w:t>
      </w:r>
    </w:p>
    <w:p w14:paraId="1C282D9C" w14:textId="77777777" w:rsidR="00B518D3" w:rsidRPr="00B518D3" w:rsidRDefault="00B518D3" w:rsidP="005B3066">
      <w:pPr>
        <w:ind w:left="426" w:hanging="426"/>
        <w:rPr>
          <w:lang w:eastAsia="en-GB"/>
        </w:rPr>
      </w:pPr>
      <w:r w:rsidRPr="00B518D3">
        <w:rPr>
          <w:lang w:eastAsia="en-GB"/>
        </w:rPr>
        <w:t>•</w:t>
      </w:r>
      <w:r w:rsidRPr="00B518D3">
        <w:rPr>
          <w:lang w:eastAsia="en-GB"/>
        </w:rPr>
        <w:tab/>
        <w:t>assurance on: the ICO’s cyber security arrangements; procurement; the ICO’s management of issues relating to estates, climate and environment; the ICO’s compliance with its own Accountability Framework; its compliance with Data Protection legislation; and its compliance with the Public Sector Bodies (Websites and Mobile Applications) Accessibility Regulations 2018; and</w:t>
      </w:r>
    </w:p>
    <w:p w14:paraId="4CB25708" w14:textId="77777777" w:rsidR="00B518D3" w:rsidRPr="00B518D3" w:rsidRDefault="00B518D3" w:rsidP="005B3066">
      <w:pPr>
        <w:ind w:left="426" w:hanging="426"/>
        <w:rPr>
          <w:lang w:eastAsia="en-GB"/>
        </w:rPr>
      </w:pPr>
      <w:r w:rsidRPr="00B518D3">
        <w:rPr>
          <w:lang w:eastAsia="en-GB"/>
        </w:rPr>
        <w:t>•</w:t>
      </w:r>
      <w:r w:rsidRPr="00B518D3">
        <w:rPr>
          <w:lang w:eastAsia="en-GB"/>
        </w:rPr>
        <w:tab/>
        <w:t>the ICO’s Reserves Policy.</w:t>
      </w:r>
    </w:p>
    <w:p w14:paraId="0529EE6F" w14:textId="77777777" w:rsidR="00B518D3" w:rsidRDefault="00B518D3" w:rsidP="00B518D3">
      <w:pPr>
        <w:pStyle w:val="Heading2"/>
      </w:pPr>
      <w:r w:rsidRPr="00B518D3">
        <w:t>Plans during 2025/26</w:t>
      </w:r>
    </w:p>
    <w:p w14:paraId="4557CEDF" w14:textId="77777777" w:rsidR="00B518D3" w:rsidRPr="00B518D3" w:rsidRDefault="00B518D3" w:rsidP="00B518D3">
      <w:pPr>
        <w:pStyle w:val="Heading2"/>
        <w:rPr>
          <w:rFonts w:ascii="Verdana" w:eastAsiaTheme="minorHAnsi" w:hAnsi="Verdana" w:cstheme="minorBidi"/>
          <w:bCs w:val="0"/>
          <w:color w:val="auto"/>
          <w:spacing w:val="0"/>
          <w:kern w:val="0"/>
          <w:sz w:val="24"/>
          <w:szCs w:val="22"/>
        </w:rPr>
      </w:pPr>
      <w:r w:rsidRPr="00B518D3">
        <w:rPr>
          <w:rFonts w:ascii="Verdana" w:eastAsiaTheme="minorHAnsi" w:hAnsi="Verdana" w:cstheme="minorBidi"/>
          <w:bCs w:val="0"/>
          <w:color w:val="auto"/>
          <w:spacing w:val="0"/>
          <w:kern w:val="0"/>
          <w:sz w:val="24"/>
          <w:szCs w:val="22"/>
        </w:rPr>
        <w:t>During 2025/26, as well as continuing to receive further iterations of the reports set out above, the Committee will focus on:</w:t>
      </w:r>
    </w:p>
    <w:p w14:paraId="4339564F" w14:textId="77777777" w:rsidR="00B8401A" w:rsidRDefault="00B518D3" w:rsidP="00B8401A">
      <w:pPr>
        <w:pStyle w:val="ListParagraph"/>
        <w:numPr>
          <w:ilvl w:val="0"/>
          <w:numId w:val="25"/>
        </w:numPr>
        <w:ind w:left="284" w:hanging="284"/>
        <w:rPr>
          <w:lang w:eastAsia="en-GB"/>
        </w:rPr>
      </w:pPr>
      <w:r w:rsidRPr="00B518D3">
        <w:rPr>
          <w:lang w:eastAsia="en-GB"/>
        </w:rPr>
        <w:t>oversight of any considerations for risk, assurance and audit</w:t>
      </w:r>
      <w:r w:rsidR="00B8401A">
        <w:rPr>
          <w:lang w:eastAsia="en-GB"/>
        </w:rPr>
        <w:t xml:space="preserve">, </w:t>
      </w:r>
      <w:r w:rsidRPr="00B518D3">
        <w:rPr>
          <w:lang w:eastAsia="en-GB"/>
        </w:rPr>
        <w:t>as well as the ICO’s financial position</w:t>
      </w:r>
      <w:r w:rsidR="00B8401A">
        <w:rPr>
          <w:lang w:eastAsia="en-GB"/>
        </w:rPr>
        <w:t>;</w:t>
      </w:r>
    </w:p>
    <w:p w14:paraId="54A8268A" w14:textId="32A5151C" w:rsidR="00B518D3" w:rsidRPr="00B518D3" w:rsidRDefault="00B8401A" w:rsidP="00B8401A">
      <w:pPr>
        <w:pStyle w:val="ListParagraph"/>
        <w:numPr>
          <w:ilvl w:val="0"/>
          <w:numId w:val="25"/>
        </w:numPr>
        <w:ind w:left="284" w:hanging="284"/>
        <w:rPr>
          <w:lang w:eastAsia="en-GB"/>
        </w:rPr>
      </w:pPr>
      <w:r>
        <w:rPr>
          <w:lang w:eastAsia="en-GB"/>
        </w:rPr>
        <w:t>oversight of</w:t>
      </w:r>
      <w:r w:rsidR="00B518D3" w:rsidRPr="00B518D3">
        <w:rPr>
          <w:lang w:eastAsia="en-GB"/>
        </w:rPr>
        <w:t xml:space="preserve"> the proposed changes to governance arising from the DUA Bill</w:t>
      </w:r>
      <w:r>
        <w:rPr>
          <w:lang w:eastAsia="en-GB"/>
        </w:rPr>
        <w:t xml:space="preserve">, and </w:t>
      </w:r>
      <w:r w:rsidR="00624079">
        <w:rPr>
          <w:lang w:eastAsia="en-GB"/>
        </w:rPr>
        <w:t>scrutiny of the effectiveness of new arrangements</w:t>
      </w:r>
      <w:r w:rsidR="00B518D3" w:rsidRPr="00B518D3">
        <w:rPr>
          <w:lang w:eastAsia="en-GB"/>
        </w:rPr>
        <w:t>;</w:t>
      </w:r>
    </w:p>
    <w:p w14:paraId="51DB5AB1" w14:textId="77777777" w:rsidR="00B518D3" w:rsidRPr="00B518D3" w:rsidRDefault="00B518D3" w:rsidP="005B3066">
      <w:pPr>
        <w:pStyle w:val="ListParagraph"/>
        <w:numPr>
          <w:ilvl w:val="0"/>
          <w:numId w:val="25"/>
        </w:numPr>
        <w:ind w:left="284" w:hanging="284"/>
        <w:rPr>
          <w:lang w:eastAsia="en-GB"/>
        </w:rPr>
      </w:pPr>
      <w:r w:rsidRPr="00B518D3">
        <w:rPr>
          <w:lang w:eastAsia="en-GB"/>
        </w:rPr>
        <w:t>providing assurance and challenge on changes in financial forecasting of both income and expenditure;</w:t>
      </w:r>
    </w:p>
    <w:p w14:paraId="67331AFB" w14:textId="77777777" w:rsidR="00B518D3" w:rsidRPr="00B518D3" w:rsidRDefault="00B518D3" w:rsidP="005B3066">
      <w:pPr>
        <w:pStyle w:val="ListParagraph"/>
        <w:numPr>
          <w:ilvl w:val="0"/>
          <w:numId w:val="25"/>
        </w:numPr>
        <w:ind w:left="284" w:hanging="284"/>
        <w:rPr>
          <w:lang w:eastAsia="en-GB"/>
        </w:rPr>
      </w:pPr>
      <w:r w:rsidRPr="00B518D3">
        <w:rPr>
          <w:lang w:eastAsia="en-GB"/>
        </w:rPr>
        <w:t>continued oversight of the delivery of the internal and external audit plans;</w:t>
      </w:r>
    </w:p>
    <w:p w14:paraId="2E9EF17E" w14:textId="77777777" w:rsidR="00B518D3" w:rsidRPr="00B518D3" w:rsidRDefault="00B518D3" w:rsidP="005B3066">
      <w:pPr>
        <w:pStyle w:val="ListParagraph"/>
        <w:numPr>
          <w:ilvl w:val="0"/>
          <w:numId w:val="25"/>
        </w:numPr>
        <w:ind w:left="284" w:hanging="284"/>
        <w:rPr>
          <w:lang w:eastAsia="en-GB"/>
        </w:rPr>
      </w:pPr>
      <w:r w:rsidRPr="00B518D3">
        <w:rPr>
          <w:lang w:eastAsia="en-GB"/>
        </w:rPr>
        <w:t>ongoing monitoring of the financial position of the organisation, including reviewing the annual report and financial statements;</w:t>
      </w:r>
    </w:p>
    <w:p w14:paraId="22A32E3D" w14:textId="77777777" w:rsidR="00B518D3" w:rsidRPr="00B518D3" w:rsidRDefault="00B518D3" w:rsidP="005B3066">
      <w:pPr>
        <w:pStyle w:val="ListParagraph"/>
        <w:numPr>
          <w:ilvl w:val="0"/>
          <w:numId w:val="25"/>
        </w:numPr>
        <w:ind w:left="284" w:hanging="284"/>
        <w:rPr>
          <w:lang w:eastAsia="en-GB"/>
        </w:rPr>
      </w:pPr>
      <w:r w:rsidRPr="00B518D3">
        <w:rPr>
          <w:lang w:eastAsia="en-GB"/>
        </w:rPr>
        <w:t>oversight of the management of risk, including the mitigating actions and controls in place to manage significant risks to the organisation, including a review of our Risk Management Policy;</w:t>
      </w:r>
    </w:p>
    <w:p w14:paraId="6931AE3A" w14:textId="77777777" w:rsidR="00B518D3" w:rsidRPr="00B518D3" w:rsidRDefault="00B518D3" w:rsidP="005B3066">
      <w:pPr>
        <w:pStyle w:val="ListParagraph"/>
        <w:numPr>
          <w:ilvl w:val="0"/>
          <w:numId w:val="25"/>
        </w:numPr>
        <w:ind w:left="284" w:hanging="284"/>
        <w:rPr>
          <w:lang w:eastAsia="en-GB"/>
        </w:rPr>
      </w:pPr>
      <w:r w:rsidRPr="00B518D3">
        <w:rPr>
          <w:lang w:eastAsia="en-GB"/>
        </w:rPr>
        <w:t>identifying areas for additional assurance to ensure the Committee can provide an opinion at year end regarding the ICO’s control environment;</w:t>
      </w:r>
    </w:p>
    <w:p w14:paraId="31F5DFA2" w14:textId="77777777" w:rsidR="00B518D3" w:rsidRPr="00B518D3" w:rsidRDefault="00B518D3" w:rsidP="005B3066">
      <w:pPr>
        <w:pStyle w:val="ListParagraph"/>
        <w:numPr>
          <w:ilvl w:val="0"/>
          <w:numId w:val="25"/>
        </w:numPr>
        <w:ind w:left="284" w:hanging="284"/>
        <w:rPr>
          <w:lang w:eastAsia="en-GB"/>
        </w:rPr>
      </w:pPr>
      <w:r w:rsidRPr="00B518D3">
        <w:rPr>
          <w:lang w:eastAsia="en-GB"/>
        </w:rPr>
        <w:t>continued monitoring of the risk landscape and assessing implications to the ICO as we build on our organisation-wide resilience and continue to improve our risk management framework, including a review of our Business Continuity Strategy Statement.</w:t>
      </w:r>
    </w:p>
    <w:p w14:paraId="4091074B" w14:textId="77777777" w:rsidR="00B518D3" w:rsidRPr="00B518D3" w:rsidRDefault="00B518D3" w:rsidP="00B518D3">
      <w:pPr>
        <w:pStyle w:val="ListParagraph"/>
        <w:numPr>
          <w:ilvl w:val="0"/>
          <w:numId w:val="25"/>
        </w:numPr>
        <w:ind w:left="284" w:hanging="284"/>
        <w:rPr>
          <w:lang w:eastAsia="en-GB"/>
        </w:rPr>
      </w:pPr>
      <w:r w:rsidRPr="00B518D3">
        <w:rPr>
          <w:lang w:eastAsia="en-GB"/>
        </w:rPr>
        <w:t>a deep dive into the management of Environmental, Social and Governance issues;</w:t>
      </w:r>
    </w:p>
    <w:p w14:paraId="16D19FFD" w14:textId="77777777" w:rsidR="00B518D3" w:rsidRPr="00B518D3" w:rsidRDefault="00B518D3" w:rsidP="00B518D3">
      <w:pPr>
        <w:pStyle w:val="ListParagraph"/>
        <w:numPr>
          <w:ilvl w:val="0"/>
          <w:numId w:val="25"/>
        </w:numPr>
        <w:ind w:left="284" w:hanging="284"/>
        <w:rPr>
          <w:lang w:eastAsia="en-GB"/>
        </w:rPr>
      </w:pPr>
      <w:r w:rsidRPr="00B518D3">
        <w:rPr>
          <w:lang w:eastAsia="en-GB"/>
        </w:rPr>
        <w:t>risk and audit horizon scanning; and</w:t>
      </w:r>
    </w:p>
    <w:p w14:paraId="02F37B4A" w14:textId="079B36C9" w:rsidR="00B518D3" w:rsidRPr="00B518D3" w:rsidRDefault="00624079" w:rsidP="00B518D3">
      <w:pPr>
        <w:pStyle w:val="ListParagraph"/>
        <w:numPr>
          <w:ilvl w:val="0"/>
          <w:numId w:val="25"/>
        </w:numPr>
        <w:ind w:left="284" w:hanging="284"/>
        <w:rPr>
          <w:lang w:eastAsia="en-GB"/>
        </w:rPr>
      </w:pPr>
      <w:r>
        <w:rPr>
          <w:lang w:eastAsia="en-GB"/>
        </w:rPr>
        <w:t>t</w:t>
      </w:r>
      <w:r w:rsidR="00B518D3" w:rsidRPr="00B518D3">
        <w:rPr>
          <w:lang w:eastAsia="en-GB"/>
        </w:rPr>
        <w:t xml:space="preserve">he Committee will also keep abreast of strategic change and transformation priorities as they develop in the coming months and </w:t>
      </w:r>
      <w:r w:rsidR="00B518D3" w:rsidRPr="00B518D3">
        <w:rPr>
          <w:lang w:eastAsia="en-GB"/>
        </w:rPr>
        <w:lastRenderedPageBreak/>
        <w:t>years, and the impact that any of these changes may have on future audits and overall assurance.</w:t>
      </w:r>
    </w:p>
    <w:p w14:paraId="12C212A2" w14:textId="77777777" w:rsidR="00B518D3" w:rsidRDefault="00B518D3" w:rsidP="00B518D3">
      <w:pPr>
        <w:pStyle w:val="Heading2"/>
      </w:pPr>
      <w:r w:rsidRPr="00B518D3">
        <w:t>Internal and external audit</w:t>
      </w:r>
    </w:p>
    <w:p w14:paraId="208A4391" w14:textId="796DD74C" w:rsidR="00B518D3" w:rsidRPr="00B518D3" w:rsidRDefault="00B518D3" w:rsidP="005B3066">
      <w:r w:rsidRPr="00B518D3">
        <w:t>The Committee reviewed the internal audit plan and progress against it on a continual basis. During the year, the Committee considered</w:t>
      </w:r>
      <w:r w:rsidR="009D44CD">
        <w:t xml:space="preserve"> the following</w:t>
      </w:r>
      <w:r w:rsidRPr="00B518D3">
        <w:t xml:space="preserve"> internal audit reviews</w:t>
      </w:r>
      <w:r w:rsidR="009D44CD">
        <w:t>:</w:t>
      </w:r>
    </w:p>
    <w:p w14:paraId="734ED0B0" w14:textId="77777777" w:rsidR="00B518D3" w:rsidRPr="00B518D3" w:rsidRDefault="00B518D3" w:rsidP="00B518D3">
      <w:pPr>
        <w:pStyle w:val="ListParagraph"/>
        <w:numPr>
          <w:ilvl w:val="0"/>
          <w:numId w:val="25"/>
        </w:numPr>
        <w:ind w:left="284" w:hanging="284"/>
        <w:rPr>
          <w:lang w:eastAsia="en-GB"/>
        </w:rPr>
      </w:pPr>
      <w:r w:rsidRPr="00B518D3">
        <w:rPr>
          <w:lang w:eastAsia="en-GB"/>
        </w:rPr>
        <w:t>Transformation programme</w:t>
      </w:r>
    </w:p>
    <w:p w14:paraId="31A8E6ED" w14:textId="77777777" w:rsidR="00B518D3" w:rsidRPr="00B518D3" w:rsidRDefault="00B518D3" w:rsidP="00B518D3">
      <w:pPr>
        <w:pStyle w:val="ListParagraph"/>
        <w:numPr>
          <w:ilvl w:val="0"/>
          <w:numId w:val="25"/>
        </w:numPr>
        <w:ind w:left="284" w:hanging="284"/>
        <w:rPr>
          <w:lang w:eastAsia="en-GB"/>
        </w:rPr>
      </w:pPr>
      <w:r w:rsidRPr="00B518D3">
        <w:rPr>
          <w:lang w:eastAsia="en-GB"/>
        </w:rPr>
        <w:t>Conflicts of interest</w:t>
      </w:r>
    </w:p>
    <w:p w14:paraId="37AFD6A8" w14:textId="77777777" w:rsidR="00B518D3" w:rsidRPr="00B518D3" w:rsidRDefault="00B518D3" w:rsidP="00B518D3">
      <w:pPr>
        <w:pStyle w:val="ListParagraph"/>
        <w:numPr>
          <w:ilvl w:val="0"/>
          <w:numId w:val="25"/>
        </w:numPr>
        <w:ind w:left="284" w:hanging="284"/>
        <w:rPr>
          <w:lang w:eastAsia="en-GB"/>
        </w:rPr>
      </w:pPr>
      <w:r w:rsidRPr="00B518D3">
        <w:rPr>
          <w:lang w:eastAsia="en-GB"/>
        </w:rPr>
        <w:t>Service complaints</w:t>
      </w:r>
    </w:p>
    <w:p w14:paraId="6FCACC96" w14:textId="77777777" w:rsidR="00B518D3" w:rsidRPr="00B518D3" w:rsidRDefault="00B518D3" w:rsidP="00B518D3">
      <w:pPr>
        <w:pStyle w:val="ListParagraph"/>
        <w:numPr>
          <w:ilvl w:val="0"/>
          <w:numId w:val="25"/>
        </w:numPr>
        <w:ind w:left="284" w:hanging="284"/>
        <w:rPr>
          <w:lang w:eastAsia="en-GB"/>
        </w:rPr>
      </w:pPr>
      <w:r w:rsidRPr="00B518D3">
        <w:rPr>
          <w:lang w:eastAsia="en-GB"/>
        </w:rPr>
        <w:t>Widening Freedom of Information interventions</w:t>
      </w:r>
    </w:p>
    <w:p w14:paraId="5217835D" w14:textId="77777777" w:rsidR="00B518D3" w:rsidRPr="00B518D3" w:rsidRDefault="00B518D3" w:rsidP="00B518D3">
      <w:pPr>
        <w:pStyle w:val="ListParagraph"/>
        <w:numPr>
          <w:ilvl w:val="0"/>
          <w:numId w:val="25"/>
        </w:numPr>
        <w:ind w:left="284" w:hanging="284"/>
        <w:rPr>
          <w:lang w:eastAsia="en-GB"/>
        </w:rPr>
      </w:pPr>
      <w:r w:rsidRPr="00B518D3">
        <w:rPr>
          <w:lang w:eastAsia="en-GB"/>
        </w:rPr>
        <w:t>Penalty setting</w:t>
      </w:r>
    </w:p>
    <w:p w14:paraId="6B175DC6" w14:textId="77777777" w:rsidR="00B518D3" w:rsidRPr="00B518D3" w:rsidRDefault="00B518D3" w:rsidP="00B518D3">
      <w:pPr>
        <w:pStyle w:val="ListParagraph"/>
        <w:numPr>
          <w:ilvl w:val="0"/>
          <w:numId w:val="25"/>
        </w:numPr>
        <w:ind w:left="284" w:hanging="284"/>
        <w:rPr>
          <w:lang w:eastAsia="en-GB"/>
        </w:rPr>
      </w:pPr>
      <w:r w:rsidRPr="00B518D3">
        <w:rPr>
          <w:lang w:eastAsia="en-GB"/>
        </w:rPr>
        <w:t>Financial controls: fixed assets</w:t>
      </w:r>
    </w:p>
    <w:p w14:paraId="7A7570B5" w14:textId="77777777" w:rsidR="00B518D3" w:rsidRPr="00051634" w:rsidRDefault="00B518D3" w:rsidP="00B518D3">
      <w:pPr>
        <w:pStyle w:val="ListParagraph"/>
        <w:numPr>
          <w:ilvl w:val="0"/>
          <w:numId w:val="25"/>
        </w:numPr>
        <w:ind w:left="284" w:hanging="284"/>
        <w:rPr>
          <w:lang w:eastAsia="en-GB"/>
        </w:rPr>
      </w:pPr>
      <w:r w:rsidRPr="00051634">
        <w:rPr>
          <w:lang w:eastAsia="en-GB"/>
        </w:rPr>
        <w:t>Business Continuity</w:t>
      </w:r>
    </w:p>
    <w:p w14:paraId="0671D2A8" w14:textId="753323EB" w:rsidR="00B518D3" w:rsidRPr="00051634" w:rsidRDefault="00B518D3" w:rsidP="00B518D3">
      <w:pPr>
        <w:pStyle w:val="ListParagraph"/>
        <w:numPr>
          <w:ilvl w:val="0"/>
          <w:numId w:val="25"/>
        </w:numPr>
        <w:ind w:left="284" w:hanging="284"/>
        <w:rPr>
          <w:lang w:eastAsia="en-GB"/>
        </w:rPr>
      </w:pPr>
      <w:r w:rsidRPr="00051634">
        <w:rPr>
          <w:lang w:eastAsia="en-GB"/>
        </w:rPr>
        <w:t>Research, a</w:t>
      </w:r>
      <w:r w:rsidR="008C2092" w:rsidRPr="00051634">
        <w:rPr>
          <w:lang w:eastAsia="en-GB"/>
        </w:rPr>
        <w:t>nal</w:t>
      </w:r>
      <w:r w:rsidRPr="00051634">
        <w:rPr>
          <w:lang w:eastAsia="en-GB"/>
        </w:rPr>
        <w:t>ysis and intelligence</w:t>
      </w:r>
    </w:p>
    <w:p w14:paraId="57AB3718" w14:textId="77777777" w:rsidR="00B518D3" w:rsidRPr="00051634" w:rsidRDefault="00B518D3" w:rsidP="00B518D3">
      <w:pPr>
        <w:pStyle w:val="ListParagraph"/>
        <w:numPr>
          <w:ilvl w:val="0"/>
          <w:numId w:val="25"/>
        </w:numPr>
        <w:ind w:left="284" w:hanging="284"/>
        <w:rPr>
          <w:lang w:eastAsia="en-GB"/>
        </w:rPr>
      </w:pPr>
      <w:r w:rsidRPr="00051634">
        <w:rPr>
          <w:lang w:eastAsia="en-GB"/>
        </w:rPr>
        <w:t>Fee income</w:t>
      </w:r>
    </w:p>
    <w:p w14:paraId="00A9528E" w14:textId="77777777" w:rsidR="009E7139" w:rsidRDefault="009E7139" w:rsidP="009E7139">
      <w:r>
        <w:t xml:space="preserve">Internal audit made 50 recommendations from their audits during 2024/25, of which 24 were due for implementation before the year end. The remaining 26 recommendations are due for implementation during 2025/26. </w:t>
      </w:r>
    </w:p>
    <w:p w14:paraId="7AD0B82C" w14:textId="77777777" w:rsidR="009E7139" w:rsidRDefault="009E7139" w:rsidP="009E7139">
      <w:r>
        <w:t>Audits undertaken during the previous year (2023/24) had also raised 22 recommendations which had a due date during 2024/25, and two recommendations which had a later due date.</w:t>
      </w:r>
    </w:p>
    <w:p w14:paraId="34365EBB" w14:textId="77777777" w:rsidR="009E7139" w:rsidRDefault="009E7139" w:rsidP="009E7139">
      <w:r>
        <w:t>Internal audit follows up on the implementation of recommendations during the year. In total, internal audit reviewed the progress of 46 recommendations which were due during 2024/25 (24 made during the year plus 22 made previously). All 46 recommendations have been confirmed as completed. As a result of their review, internal audit raised one further recommendation for completion during 2025/26.</w:t>
      </w:r>
    </w:p>
    <w:p w14:paraId="5F46C22E" w14:textId="77777777" w:rsidR="009E7139" w:rsidRDefault="009E7139" w:rsidP="009E7139">
      <w:r>
        <w:t>This leaves 29 recommendations to be addressed: 26 due for completion during 2025/26; and three for completion during 2026/27.</w:t>
      </w:r>
    </w:p>
    <w:p w14:paraId="1049C961" w14:textId="6F970D11" w:rsidR="00AC4A69" w:rsidRDefault="00AC4A69" w:rsidP="009E7139">
      <w:r>
        <w:t xml:space="preserve">During the year </w:t>
      </w:r>
      <w:r w:rsidR="00B7566D">
        <w:t>internal audit</w:t>
      </w:r>
      <w:r>
        <w:t xml:space="preserve"> identified areas of good practice and opportunities for developing and improving current activities.</w:t>
      </w:r>
      <w:r w:rsidR="009E7139" w:rsidRPr="009E7139">
        <w:t xml:space="preserve"> </w:t>
      </w:r>
      <w:r w:rsidR="009E7139">
        <w:t xml:space="preserve">The Government Internal Audit Agency (GIAA) has provided internal audit services for the ICO since April 2023. </w:t>
      </w:r>
      <w:r>
        <w:t>GIAA’s annual audit opinion for 2024/25 stated: “</w:t>
      </w:r>
      <w:r w:rsidRPr="00462937">
        <w:rPr>
          <w:i/>
          <w:iCs/>
        </w:rPr>
        <w:t xml:space="preserve">I am providing an overall Moderate opinion on the framework of governance, risk management and control within ICO for the year ended 31 March 2025. My opinion is based on the assurance and advisory work we have undertaken this year, and from papers submitted </w:t>
      </w:r>
      <w:r w:rsidRPr="00462937">
        <w:rPr>
          <w:i/>
          <w:iCs/>
        </w:rPr>
        <w:lastRenderedPageBreak/>
        <w:t>to the Audit and Risk Committee, regular discussions with management, and quarterly recommendation tracking activity, together with my wider understanding of the risk and control environment. There were no areas of significant weakness identified in our reviews, indicating that there is an adequate and effective control environment within ICO</w:t>
      </w:r>
      <w:r>
        <w:t>.”</w:t>
      </w:r>
    </w:p>
    <w:p w14:paraId="79BF4EE6" w14:textId="77777777" w:rsidR="00AC4A69" w:rsidRDefault="00AC4A69" w:rsidP="00AC4A69">
      <w:r>
        <w:t>Moderate is the second highest of the four ratings offered by GIAA, who provide annual report opinions of substantial, moderate, limited and unsatisfactory. The definition of moderate is: “</w:t>
      </w:r>
      <w:r w:rsidRPr="00462937">
        <w:rPr>
          <w:i/>
          <w:iCs/>
        </w:rPr>
        <w:t>Some improvements are required to enhance the adequacy and effectiveness of the framework of governance, risk management and control.</w:t>
      </w:r>
      <w:r>
        <w:t xml:space="preserve">” </w:t>
      </w:r>
    </w:p>
    <w:p w14:paraId="413BE8E4" w14:textId="53315785" w:rsidR="00B518D3" w:rsidRPr="00B518D3" w:rsidRDefault="00B518D3" w:rsidP="005F12D8">
      <w:r w:rsidRPr="00B518D3">
        <w:t>The National Audit Office Audit Completion Report 2024/25 for the external audit concluded that “</w:t>
      </w:r>
      <w:r w:rsidR="009B6E20">
        <w:t>We anticipate recommending that the Comptroller and Auditor General (C&amp;AG) certifies the 2024/25 financial statements with an unqualified audit opinion, without modification in respect of both regularity and the true and fair view on the financial statements.</w:t>
      </w:r>
      <w:r w:rsidR="005F12D8">
        <w:t>”</w:t>
      </w:r>
    </w:p>
    <w:p w14:paraId="634489D6" w14:textId="77777777" w:rsidR="00B518D3" w:rsidRDefault="00B518D3" w:rsidP="00B518D3">
      <w:pPr>
        <w:pStyle w:val="Heading2"/>
      </w:pPr>
      <w:r w:rsidRPr="00B518D3">
        <w:t>Audit and Risk Committee opinion</w:t>
      </w:r>
    </w:p>
    <w:p w14:paraId="4D342DE5" w14:textId="7B625387" w:rsidR="00B518D3" w:rsidRPr="002878B2" w:rsidRDefault="00B518D3" w:rsidP="005B3066">
      <w:pPr>
        <w:rPr>
          <w:lang w:eastAsia="en-GB"/>
        </w:rPr>
      </w:pPr>
      <w:r w:rsidRPr="00CC4DEE">
        <w:rPr>
          <w:lang w:eastAsia="en-GB"/>
        </w:rPr>
        <w:t xml:space="preserve">Given the opinion of the internal </w:t>
      </w:r>
      <w:r w:rsidRPr="002878B2">
        <w:rPr>
          <w:lang w:eastAsia="en-GB"/>
        </w:rPr>
        <w:t>auditor and external auditor as expressed in their annual reports, and the other information available to it from its work during the year, the Audit and Risk Committee can therefore provide the Commissioner, as Accounting Officer, with reasonable assurance that the ICO’s control mechanisms are working satisfactorily.</w:t>
      </w:r>
    </w:p>
    <w:p w14:paraId="65D1982F" w14:textId="77777777" w:rsidR="00B518D3" w:rsidRDefault="00B518D3" w:rsidP="005B3066">
      <w:pPr>
        <w:rPr>
          <w:lang w:eastAsia="en-GB"/>
        </w:rPr>
      </w:pPr>
      <w:r w:rsidRPr="002878B2">
        <w:rPr>
          <w:lang w:eastAsia="en-GB"/>
        </w:rPr>
        <w:t>The Committee is satisfied with the quality of internal and external audit. The Committee believes that, by virtue</w:t>
      </w:r>
      <w:r>
        <w:rPr>
          <w:lang w:eastAsia="en-GB"/>
        </w:rPr>
        <w:t xml:space="preserve"> of this work, it is able to take a measured and diligent view of the quality of financial and other systems of reporting and control within the ICO. </w:t>
      </w:r>
    </w:p>
    <w:p w14:paraId="34C835CA" w14:textId="11717D67" w:rsidR="00B518D3" w:rsidRDefault="00B518D3" w:rsidP="009A101B">
      <w:pPr>
        <w:rPr>
          <w:lang w:eastAsia="en-GB"/>
        </w:rPr>
      </w:pPr>
      <w:r>
        <w:rPr>
          <w:lang w:eastAsia="en-GB"/>
        </w:rPr>
        <w:t>The Committee welcomed the rating of substantial assurance in</w:t>
      </w:r>
      <w:r w:rsidR="00493511">
        <w:rPr>
          <w:lang w:eastAsia="en-GB"/>
        </w:rPr>
        <w:t xml:space="preserve"> three areas:</w:t>
      </w:r>
      <w:r>
        <w:rPr>
          <w:lang w:eastAsia="en-GB"/>
        </w:rPr>
        <w:t xml:space="preserve"> </w:t>
      </w:r>
      <w:r w:rsidR="00444D06">
        <w:rPr>
          <w:lang w:eastAsia="en-GB"/>
        </w:rPr>
        <w:t>penalty setting</w:t>
      </w:r>
      <w:r w:rsidR="00493511">
        <w:rPr>
          <w:lang w:eastAsia="en-GB"/>
        </w:rPr>
        <w:t>; research, analysis and intelligence</w:t>
      </w:r>
      <w:r w:rsidR="00DE258A">
        <w:rPr>
          <w:lang w:eastAsia="en-GB"/>
        </w:rPr>
        <w:t>; and widening Freedom of Information interventions</w:t>
      </w:r>
      <w:r>
        <w:rPr>
          <w:lang w:eastAsia="en-GB"/>
        </w:rPr>
        <w:t>. The Committee also welcomed the helpful recommendations in</w:t>
      </w:r>
      <w:r w:rsidR="00AA2B66">
        <w:rPr>
          <w:lang w:eastAsia="en-GB"/>
        </w:rPr>
        <w:t xml:space="preserve"> </w:t>
      </w:r>
      <w:r w:rsidR="006E41B7">
        <w:rPr>
          <w:lang w:eastAsia="en-GB"/>
        </w:rPr>
        <w:t>six</w:t>
      </w:r>
      <w:r w:rsidR="00AA2B66">
        <w:rPr>
          <w:lang w:eastAsia="en-GB"/>
        </w:rPr>
        <w:t xml:space="preserve"> areas</w:t>
      </w:r>
      <w:r>
        <w:rPr>
          <w:lang w:eastAsia="en-GB"/>
        </w:rPr>
        <w:t>:</w:t>
      </w:r>
      <w:r w:rsidR="00503FDE">
        <w:rPr>
          <w:lang w:eastAsia="en-GB"/>
        </w:rPr>
        <w:t xml:space="preserve"> business continuity management;</w:t>
      </w:r>
      <w:r>
        <w:rPr>
          <w:lang w:eastAsia="en-GB"/>
        </w:rPr>
        <w:t xml:space="preserve"> conflicts of interest</w:t>
      </w:r>
      <w:r w:rsidR="00AA2B66">
        <w:rPr>
          <w:lang w:eastAsia="en-GB"/>
        </w:rPr>
        <w:t>;</w:t>
      </w:r>
      <w:r>
        <w:rPr>
          <w:lang w:eastAsia="en-GB"/>
        </w:rPr>
        <w:t xml:space="preserve"> </w:t>
      </w:r>
      <w:r w:rsidR="00C65688">
        <w:rPr>
          <w:lang w:eastAsia="en-GB"/>
        </w:rPr>
        <w:t xml:space="preserve">key financial controls – fixed assets; </w:t>
      </w:r>
      <w:r w:rsidR="009A101B">
        <w:rPr>
          <w:lang w:eastAsia="en-GB"/>
        </w:rPr>
        <w:t xml:space="preserve">fee income; </w:t>
      </w:r>
      <w:r w:rsidR="00DE258A">
        <w:rPr>
          <w:lang w:eastAsia="en-GB"/>
        </w:rPr>
        <w:t xml:space="preserve">service complaints; </w:t>
      </w:r>
      <w:r>
        <w:rPr>
          <w:lang w:eastAsia="en-GB"/>
        </w:rPr>
        <w:t>and the advisory report on the transformation programme</w:t>
      </w:r>
      <w:r w:rsidR="009A101B">
        <w:rPr>
          <w:lang w:eastAsia="en-GB"/>
        </w:rPr>
        <w:t>.</w:t>
      </w:r>
    </w:p>
    <w:p w14:paraId="7FC463BD" w14:textId="77777777" w:rsidR="00B518D3" w:rsidRDefault="00B518D3" w:rsidP="005B3066">
      <w:pPr>
        <w:rPr>
          <w:lang w:eastAsia="en-GB"/>
        </w:rPr>
      </w:pPr>
      <w:r>
        <w:rPr>
          <w:lang w:eastAsia="en-GB"/>
        </w:rPr>
        <w:t xml:space="preserve">In respect of its own performance the Committee considers that it has directed the internal audit function towards areas relevant to the risks facing the ICO. It has constructively challenged management and the internal audit function. It has received a high level of cooperation and support from all concerned. Responses to audit recommendations from </w:t>
      </w:r>
      <w:r>
        <w:rPr>
          <w:lang w:eastAsia="en-GB"/>
        </w:rPr>
        <w:lastRenderedPageBreak/>
        <w:t>management are positive and the Committee is satisfied that management within the ICO is committed to maintaining an appropriate level of internal control and prudent use of resources.</w:t>
      </w:r>
    </w:p>
    <w:p w14:paraId="2C33564D" w14:textId="77777777" w:rsidR="00B518D3" w:rsidRPr="00FD7BD9" w:rsidRDefault="00B518D3" w:rsidP="005B3066">
      <w:pPr>
        <w:rPr>
          <w:lang w:eastAsia="en-GB"/>
        </w:rPr>
      </w:pPr>
      <w:r>
        <w:rPr>
          <w:lang w:eastAsia="en-GB"/>
        </w:rPr>
        <w:t xml:space="preserve">This opinion feeds into the Commissioner’s drafting of the Governance Statement for 2022/25, which was considered by the Audit and Risk Committee at its April </w:t>
      </w:r>
      <w:r w:rsidRPr="00FD7BD9">
        <w:rPr>
          <w:lang w:eastAsia="en-GB"/>
        </w:rPr>
        <w:t>2025 and June 2025 meetings.</w:t>
      </w:r>
    </w:p>
    <w:p w14:paraId="48829F90" w14:textId="77777777" w:rsidR="00B518D3" w:rsidRPr="00FD7BD9" w:rsidRDefault="00B518D3" w:rsidP="005B3066">
      <w:pPr>
        <w:rPr>
          <w:lang w:eastAsia="en-GB"/>
        </w:rPr>
      </w:pPr>
    </w:p>
    <w:p w14:paraId="56303E1D" w14:textId="77777777" w:rsidR="00B518D3" w:rsidRPr="00FD7BD9" w:rsidRDefault="00B518D3" w:rsidP="005B3066">
      <w:pPr>
        <w:rPr>
          <w:lang w:eastAsia="en-GB"/>
        </w:rPr>
      </w:pPr>
    </w:p>
    <w:p w14:paraId="3F6AB56D" w14:textId="13CBC078" w:rsidR="00856666" w:rsidRPr="009004DE" w:rsidRDefault="00B518D3" w:rsidP="005B3066">
      <w:r w:rsidRPr="00FD7BD9">
        <w:rPr>
          <w:lang w:eastAsia="en-GB"/>
        </w:rPr>
        <w:t>16 June 2025.</w:t>
      </w:r>
    </w:p>
    <w:sectPr w:rsidR="00856666" w:rsidRPr="009004DE" w:rsidSect="000C56AD">
      <w:footerReference w:type="default" r:id="rId12"/>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98C5" w14:textId="77777777" w:rsidR="00676CA8" w:rsidRDefault="00676CA8" w:rsidP="007A1707">
      <w:pPr>
        <w:spacing w:after="0" w:line="240" w:lineRule="auto"/>
      </w:pPr>
      <w:r>
        <w:separator/>
      </w:r>
    </w:p>
  </w:endnote>
  <w:endnote w:type="continuationSeparator" w:id="0">
    <w:p w14:paraId="6913D895" w14:textId="77777777" w:rsidR="00676CA8" w:rsidRDefault="00676CA8" w:rsidP="007A1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188192"/>
      <w:docPartObj>
        <w:docPartGallery w:val="Page Numbers (Bottom of Page)"/>
        <w:docPartUnique/>
      </w:docPartObj>
    </w:sdtPr>
    <w:sdtContent>
      <w:sdt>
        <w:sdtPr>
          <w:id w:val="-1769616900"/>
          <w:docPartObj>
            <w:docPartGallery w:val="Page Numbers (Top of Page)"/>
            <w:docPartUnique/>
          </w:docPartObj>
        </w:sdtPr>
        <w:sdtContent>
          <w:p w14:paraId="3BB6A854" w14:textId="0C47ABEF" w:rsidR="002B30A0" w:rsidRDefault="002B30A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B38E2F2" w14:textId="610FF1A8" w:rsidR="002B30A0" w:rsidRDefault="002B3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20D2D" w14:textId="77777777" w:rsidR="00676CA8" w:rsidRDefault="00676CA8" w:rsidP="007A1707">
      <w:pPr>
        <w:spacing w:after="0" w:line="240" w:lineRule="auto"/>
      </w:pPr>
      <w:r>
        <w:separator/>
      </w:r>
    </w:p>
  </w:footnote>
  <w:footnote w:type="continuationSeparator" w:id="0">
    <w:p w14:paraId="00029453" w14:textId="77777777" w:rsidR="00676CA8" w:rsidRDefault="00676CA8" w:rsidP="007A1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CBADFD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14015E8"/>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E12A3C4"/>
    <w:lvl w:ilvl="0">
      <w:start w:val="1"/>
      <w:numFmt w:val="decimal"/>
      <w:lvlText w:val="%1."/>
      <w:lvlJc w:val="left"/>
      <w:pPr>
        <w:tabs>
          <w:tab w:val="num" w:pos="643"/>
        </w:tabs>
        <w:ind w:left="643" w:hanging="360"/>
      </w:pPr>
    </w:lvl>
  </w:abstractNum>
  <w:abstractNum w:abstractNumId="3" w15:restartNumberingAfterBreak="0">
    <w:nsid w:val="FFFFFF88"/>
    <w:multiLevelType w:val="singleLevel"/>
    <w:tmpl w:val="B2866DAE"/>
    <w:lvl w:ilvl="0">
      <w:start w:val="1"/>
      <w:numFmt w:val="decimal"/>
      <w:lvlText w:val="%1."/>
      <w:lvlJc w:val="left"/>
      <w:pPr>
        <w:tabs>
          <w:tab w:val="num" w:pos="360"/>
        </w:tabs>
        <w:ind w:left="360" w:hanging="360"/>
      </w:pPr>
    </w:lvl>
  </w:abstractNum>
  <w:abstractNum w:abstractNumId="4" w15:restartNumberingAfterBreak="0">
    <w:nsid w:val="0408590A"/>
    <w:multiLevelType w:val="hybridMultilevel"/>
    <w:tmpl w:val="5E90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558EE"/>
    <w:multiLevelType w:val="hybridMultilevel"/>
    <w:tmpl w:val="C56E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F16BB"/>
    <w:multiLevelType w:val="multilevel"/>
    <w:tmpl w:val="C1E63C3C"/>
    <w:lvl w:ilvl="0">
      <w:start w:val="1"/>
      <w:numFmt w:val="decimal"/>
      <w:pStyle w:val="ListNumber"/>
      <w:lvlText w:val="%1."/>
      <w:lvlJc w:val="left"/>
      <w:pPr>
        <w:ind w:left="709" w:hanging="567"/>
      </w:pPr>
      <w:rPr>
        <w:rFonts w:hint="default"/>
      </w:rPr>
    </w:lvl>
    <w:lvl w:ilvl="1">
      <w:start w:val="1"/>
      <w:numFmt w:val="decimal"/>
      <w:pStyle w:val="ListNumber2"/>
      <w:lvlText w:val="%1.%2."/>
      <w:lvlJc w:val="left"/>
      <w:pPr>
        <w:ind w:left="1134" w:hanging="1134"/>
      </w:pPr>
      <w:rPr>
        <w:rFonts w:hint="default"/>
      </w:rPr>
    </w:lvl>
    <w:lvl w:ilvl="2">
      <w:start w:val="1"/>
      <w:numFmt w:val="decimal"/>
      <w:pStyle w:val="ListNumber3"/>
      <w:lvlText w:val="%1.%2.%3."/>
      <w:lvlJc w:val="left"/>
      <w:pPr>
        <w:ind w:left="1701" w:hanging="1701"/>
      </w:pPr>
      <w:rPr>
        <w:rFonts w:hint="default"/>
      </w:rPr>
    </w:lvl>
    <w:lvl w:ilvl="3">
      <w:start w:val="1"/>
      <w:numFmt w:val="decimal"/>
      <w:pStyle w:val="ListNumber4"/>
      <w:lvlText w:val="%1.%2.%3.%4."/>
      <w:lvlJc w:val="left"/>
      <w:pPr>
        <w:ind w:left="2268" w:hanging="2268"/>
      </w:pPr>
      <w:rPr>
        <w:rFonts w:hint="default"/>
      </w:rPr>
    </w:lvl>
    <w:lvl w:ilvl="4">
      <w:start w:val="1"/>
      <w:numFmt w:val="decimal"/>
      <w:lvlText w:val="%1.%2.%3.%4.%5."/>
      <w:lvlJc w:val="left"/>
      <w:pPr>
        <w:ind w:left="2835" w:hanging="2835"/>
      </w:pPr>
      <w:rPr>
        <w:rFonts w:hint="default"/>
      </w:rPr>
    </w:lvl>
    <w:lvl w:ilvl="5">
      <w:start w:val="1"/>
      <w:numFmt w:val="decimal"/>
      <w:lvlText w:val="%1.%2.%3.%4.%5.%6."/>
      <w:lvlJc w:val="left"/>
      <w:pPr>
        <w:ind w:left="2835" w:hanging="2835"/>
      </w:pPr>
      <w:rPr>
        <w:rFonts w:hint="default"/>
      </w:rPr>
    </w:lvl>
    <w:lvl w:ilvl="6">
      <w:start w:val="1"/>
      <w:numFmt w:val="decimal"/>
      <w:lvlText w:val="%1.%2.%3.%4.%5.%6.%7."/>
      <w:lvlJc w:val="left"/>
      <w:pPr>
        <w:ind w:left="2835" w:hanging="283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2835" w:hanging="2835"/>
      </w:pPr>
      <w:rPr>
        <w:rFonts w:hint="default"/>
      </w:rPr>
    </w:lvl>
  </w:abstractNum>
  <w:abstractNum w:abstractNumId="7" w15:restartNumberingAfterBreak="0">
    <w:nsid w:val="2BF87F8D"/>
    <w:multiLevelType w:val="hybridMultilevel"/>
    <w:tmpl w:val="E0FCCAAE"/>
    <w:lvl w:ilvl="0" w:tplc="04D4B49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F5CF1"/>
    <w:multiLevelType w:val="hybridMultilevel"/>
    <w:tmpl w:val="DFDEC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97DC6"/>
    <w:multiLevelType w:val="hybridMultilevel"/>
    <w:tmpl w:val="C830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3965CB"/>
    <w:multiLevelType w:val="multilevel"/>
    <w:tmpl w:val="897862F0"/>
    <w:lvl w:ilvl="0">
      <w:start w:val="1"/>
      <w:numFmt w:val="decimal"/>
      <w:lvlText w:val="%1."/>
      <w:lvlJc w:val="left"/>
      <w:pPr>
        <w:ind w:left="720" w:hanging="360"/>
      </w:pPr>
      <w:rPr>
        <w:rFonts w:ascii="Georgia" w:hAnsi="Georgia" w:hint="default"/>
        <w:color w:val="4E8ABE"/>
        <w:sz w:val="32"/>
      </w:rPr>
    </w:lvl>
    <w:lvl w:ilvl="1">
      <w:start w:val="1"/>
      <w:numFmt w:val="decimal"/>
      <w:isLgl/>
      <w:lvlText w:val="%1.%2."/>
      <w:lvlJc w:val="left"/>
      <w:pPr>
        <w:ind w:left="1080" w:hanging="720"/>
      </w:pPr>
      <w:rPr>
        <w:rFonts w:ascii="Verdana" w:hAnsi="Verdana" w:hint="default"/>
        <w:b w:val="0"/>
        <w:bCs w:val="0"/>
        <w:color w:val="auto"/>
        <w:sz w:val="24"/>
        <w:szCs w:val="24"/>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15:restartNumberingAfterBreak="0">
    <w:nsid w:val="4A461279"/>
    <w:multiLevelType w:val="hybridMultilevel"/>
    <w:tmpl w:val="B038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20A16"/>
    <w:multiLevelType w:val="hybridMultilevel"/>
    <w:tmpl w:val="41EA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BD6F58"/>
    <w:multiLevelType w:val="hybridMultilevel"/>
    <w:tmpl w:val="6D8C0BE2"/>
    <w:lvl w:ilvl="0" w:tplc="E10C3CFC">
      <w:start w:val="1"/>
      <w:numFmt w:val="bullet"/>
      <w:pStyle w:val="Bulletpoints"/>
      <w:lvlText w:val=""/>
      <w:lvlJc w:val="left"/>
      <w:pPr>
        <w:ind w:left="720" w:hanging="360"/>
      </w:pPr>
      <w:rPr>
        <w:rFonts w:ascii="Symbol" w:hAnsi="Symbol" w:hint="default"/>
        <w:color w:val="00376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4967346">
    <w:abstractNumId w:val="13"/>
  </w:num>
  <w:num w:numId="2" w16cid:durableId="333726259">
    <w:abstractNumId w:val="2"/>
  </w:num>
  <w:num w:numId="3" w16cid:durableId="17633403">
    <w:abstractNumId w:val="6"/>
  </w:num>
  <w:num w:numId="4" w16cid:durableId="421412549">
    <w:abstractNumId w:val="3"/>
  </w:num>
  <w:num w:numId="5" w16cid:durableId="2013097801">
    <w:abstractNumId w:val="6"/>
  </w:num>
  <w:num w:numId="6" w16cid:durableId="1403285714">
    <w:abstractNumId w:val="1"/>
  </w:num>
  <w:num w:numId="7" w16cid:durableId="1130245647">
    <w:abstractNumId w:val="6"/>
  </w:num>
  <w:num w:numId="8" w16cid:durableId="199392332">
    <w:abstractNumId w:val="0"/>
  </w:num>
  <w:num w:numId="9" w16cid:durableId="1389567653">
    <w:abstractNumId w:val="6"/>
  </w:num>
  <w:num w:numId="10" w16cid:durableId="1444421617">
    <w:abstractNumId w:val="6"/>
  </w:num>
  <w:num w:numId="11" w16cid:durableId="1420637105">
    <w:abstractNumId w:val="6"/>
  </w:num>
  <w:num w:numId="12" w16cid:durableId="1559827004">
    <w:abstractNumId w:val="13"/>
  </w:num>
  <w:num w:numId="13" w16cid:durableId="1043359335">
    <w:abstractNumId w:val="6"/>
  </w:num>
  <w:num w:numId="14" w16cid:durableId="957948699">
    <w:abstractNumId w:val="6"/>
  </w:num>
  <w:num w:numId="15" w16cid:durableId="1960993456">
    <w:abstractNumId w:val="6"/>
  </w:num>
  <w:num w:numId="16" w16cid:durableId="1216352836">
    <w:abstractNumId w:val="6"/>
  </w:num>
  <w:num w:numId="17" w16cid:durableId="845369015">
    <w:abstractNumId w:val="7"/>
  </w:num>
  <w:num w:numId="18" w16cid:durableId="1018120144">
    <w:abstractNumId w:val="8"/>
  </w:num>
  <w:num w:numId="19" w16cid:durableId="641160060">
    <w:abstractNumId w:val="3"/>
  </w:num>
  <w:num w:numId="20" w16cid:durableId="731730595">
    <w:abstractNumId w:val="4"/>
  </w:num>
  <w:num w:numId="21" w16cid:durableId="1351374465">
    <w:abstractNumId w:val="3"/>
  </w:num>
  <w:num w:numId="22" w16cid:durableId="922835773">
    <w:abstractNumId w:val="3"/>
  </w:num>
  <w:num w:numId="23" w16cid:durableId="402684094">
    <w:abstractNumId w:val="3"/>
  </w:num>
  <w:num w:numId="24" w16cid:durableId="807288174">
    <w:abstractNumId w:val="10"/>
  </w:num>
  <w:num w:numId="25" w16cid:durableId="541015479">
    <w:abstractNumId w:val="12"/>
  </w:num>
  <w:num w:numId="26" w16cid:durableId="411783277">
    <w:abstractNumId w:val="9"/>
  </w:num>
  <w:num w:numId="27" w16cid:durableId="1006714445">
    <w:abstractNumId w:val="11"/>
  </w:num>
  <w:num w:numId="28" w16cid:durableId="1485245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63"/>
    <w:rsid w:val="00033FBC"/>
    <w:rsid w:val="0003404B"/>
    <w:rsid w:val="00051634"/>
    <w:rsid w:val="00070131"/>
    <w:rsid w:val="000755DE"/>
    <w:rsid w:val="0009296C"/>
    <w:rsid w:val="00092D07"/>
    <w:rsid w:val="00097705"/>
    <w:rsid w:val="000C56AD"/>
    <w:rsid w:val="000C6941"/>
    <w:rsid w:val="000D7627"/>
    <w:rsid w:val="00105232"/>
    <w:rsid w:val="00112DF6"/>
    <w:rsid w:val="00121366"/>
    <w:rsid w:val="0015457D"/>
    <w:rsid w:val="001632E0"/>
    <w:rsid w:val="001A3958"/>
    <w:rsid w:val="001A48D2"/>
    <w:rsid w:val="001B4305"/>
    <w:rsid w:val="001E26D2"/>
    <w:rsid w:val="001E36DF"/>
    <w:rsid w:val="001E4FAF"/>
    <w:rsid w:val="001F0FE4"/>
    <w:rsid w:val="001F10C1"/>
    <w:rsid w:val="0020537D"/>
    <w:rsid w:val="0021475B"/>
    <w:rsid w:val="00217AAC"/>
    <w:rsid w:val="0023148B"/>
    <w:rsid w:val="00257787"/>
    <w:rsid w:val="00265B67"/>
    <w:rsid w:val="00273A28"/>
    <w:rsid w:val="00274F62"/>
    <w:rsid w:val="0028230D"/>
    <w:rsid w:val="00283CC2"/>
    <w:rsid w:val="002878B2"/>
    <w:rsid w:val="002A13F7"/>
    <w:rsid w:val="002B30A0"/>
    <w:rsid w:val="002C5F89"/>
    <w:rsid w:val="002D0C77"/>
    <w:rsid w:val="002D7590"/>
    <w:rsid w:val="002E1568"/>
    <w:rsid w:val="00323FFA"/>
    <w:rsid w:val="00326821"/>
    <w:rsid w:val="00333698"/>
    <w:rsid w:val="003437FD"/>
    <w:rsid w:val="00393DEB"/>
    <w:rsid w:val="0039434B"/>
    <w:rsid w:val="003B5716"/>
    <w:rsid w:val="003E0B5F"/>
    <w:rsid w:val="003E4C2D"/>
    <w:rsid w:val="003F4847"/>
    <w:rsid w:val="0040778D"/>
    <w:rsid w:val="00411E5B"/>
    <w:rsid w:val="004152D9"/>
    <w:rsid w:val="00416B0A"/>
    <w:rsid w:val="00435723"/>
    <w:rsid w:val="00444D06"/>
    <w:rsid w:val="0044587C"/>
    <w:rsid w:val="00461A1F"/>
    <w:rsid w:val="00462937"/>
    <w:rsid w:val="004671D7"/>
    <w:rsid w:val="00473ED0"/>
    <w:rsid w:val="00485EC8"/>
    <w:rsid w:val="00486034"/>
    <w:rsid w:val="00493511"/>
    <w:rsid w:val="00495253"/>
    <w:rsid w:val="004B7BCE"/>
    <w:rsid w:val="004C0A8A"/>
    <w:rsid w:val="004D4239"/>
    <w:rsid w:val="004D6D8A"/>
    <w:rsid w:val="004F3739"/>
    <w:rsid w:val="004F4DF9"/>
    <w:rsid w:val="00503FDE"/>
    <w:rsid w:val="00510F81"/>
    <w:rsid w:val="0051659B"/>
    <w:rsid w:val="00521CE7"/>
    <w:rsid w:val="00534D4B"/>
    <w:rsid w:val="005373F6"/>
    <w:rsid w:val="005411FB"/>
    <w:rsid w:val="00567CCD"/>
    <w:rsid w:val="00572C18"/>
    <w:rsid w:val="0058207F"/>
    <w:rsid w:val="00583C37"/>
    <w:rsid w:val="00597865"/>
    <w:rsid w:val="005A4628"/>
    <w:rsid w:val="005B3066"/>
    <w:rsid w:val="005E37EC"/>
    <w:rsid w:val="005F12D8"/>
    <w:rsid w:val="005F621E"/>
    <w:rsid w:val="00624079"/>
    <w:rsid w:val="0062514B"/>
    <w:rsid w:val="006260CC"/>
    <w:rsid w:val="00627213"/>
    <w:rsid w:val="0063374A"/>
    <w:rsid w:val="00646C32"/>
    <w:rsid w:val="00667913"/>
    <w:rsid w:val="00670C0C"/>
    <w:rsid w:val="00672695"/>
    <w:rsid w:val="00676CA8"/>
    <w:rsid w:val="00694DD4"/>
    <w:rsid w:val="006A57E3"/>
    <w:rsid w:val="006B3768"/>
    <w:rsid w:val="006B6C99"/>
    <w:rsid w:val="006C54F6"/>
    <w:rsid w:val="006D0C72"/>
    <w:rsid w:val="006E276A"/>
    <w:rsid w:val="006E41B7"/>
    <w:rsid w:val="006E5CFC"/>
    <w:rsid w:val="006F5CF6"/>
    <w:rsid w:val="00710AFE"/>
    <w:rsid w:val="00712963"/>
    <w:rsid w:val="00721150"/>
    <w:rsid w:val="00721813"/>
    <w:rsid w:val="00737532"/>
    <w:rsid w:val="00764B5A"/>
    <w:rsid w:val="007A1707"/>
    <w:rsid w:val="007B0413"/>
    <w:rsid w:val="007B2CAB"/>
    <w:rsid w:val="007E063B"/>
    <w:rsid w:val="007E3F8B"/>
    <w:rsid w:val="007F0EB9"/>
    <w:rsid w:val="007F642B"/>
    <w:rsid w:val="008048A4"/>
    <w:rsid w:val="008171E9"/>
    <w:rsid w:val="00836F5F"/>
    <w:rsid w:val="00852955"/>
    <w:rsid w:val="00856666"/>
    <w:rsid w:val="00872209"/>
    <w:rsid w:val="0087794C"/>
    <w:rsid w:val="0089727A"/>
    <w:rsid w:val="008A4F9E"/>
    <w:rsid w:val="008B74BD"/>
    <w:rsid w:val="008C2092"/>
    <w:rsid w:val="008C6640"/>
    <w:rsid w:val="008C75F0"/>
    <w:rsid w:val="008D2AF8"/>
    <w:rsid w:val="008D606C"/>
    <w:rsid w:val="008D757D"/>
    <w:rsid w:val="008F3B72"/>
    <w:rsid w:val="009004DE"/>
    <w:rsid w:val="009027B8"/>
    <w:rsid w:val="00903B95"/>
    <w:rsid w:val="00915FE3"/>
    <w:rsid w:val="00924AFB"/>
    <w:rsid w:val="00932A32"/>
    <w:rsid w:val="009358C6"/>
    <w:rsid w:val="00944BD1"/>
    <w:rsid w:val="00944DFC"/>
    <w:rsid w:val="00980242"/>
    <w:rsid w:val="00982D13"/>
    <w:rsid w:val="00992DCE"/>
    <w:rsid w:val="009A101B"/>
    <w:rsid w:val="009A1763"/>
    <w:rsid w:val="009A383F"/>
    <w:rsid w:val="009A45FA"/>
    <w:rsid w:val="009B5409"/>
    <w:rsid w:val="009B67D5"/>
    <w:rsid w:val="009B6E20"/>
    <w:rsid w:val="009C09B2"/>
    <w:rsid w:val="009D44CD"/>
    <w:rsid w:val="009E7139"/>
    <w:rsid w:val="00A006C1"/>
    <w:rsid w:val="00A04531"/>
    <w:rsid w:val="00A07F24"/>
    <w:rsid w:val="00A14007"/>
    <w:rsid w:val="00A319BC"/>
    <w:rsid w:val="00A5622D"/>
    <w:rsid w:val="00A72263"/>
    <w:rsid w:val="00A90066"/>
    <w:rsid w:val="00A96DF9"/>
    <w:rsid w:val="00AA2B66"/>
    <w:rsid w:val="00AC0272"/>
    <w:rsid w:val="00AC4A69"/>
    <w:rsid w:val="00AC7A3D"/>
    <w:rsid w:val="00AD6FB5"/>
    <w:rsid w:val="00AE60F2"/>
    <w:rsid w:val="00AF3CA2"/>
    <w:rsid w:val="00B02128"/>
    <w:rsid w:val="00B15772"/>
    <w:rsid w:val="00B30BA8"/>
    <w:rsid w:val="00B336C7"/>
    <w:rsid w:val="00B47B69"/>
    <w:rsid w:val="00B518D3"/>
    <w:rsid w:val="00B639D6"/>
    <w:rsid w:val="00B7446D"/>
    <w:rsid w:val="00B75560"/>
    <w:rsid w:val="00B7566D"/>
    <w:rsid w:val="00B82D5E"/>
    <w:rsid w:val="00B8401A"/>
    <w:rsid w:val="00B85AB5"/>
    <w:rsid w:val="00BC49FA"/>
    <w:rsid w:val="00BC6E81"/>
    <w:rsid w:val="00C0117F"/>
    <w:rsid w:val="00C138C0"/>
    <w:rsid w:val="00C4570A"/>
    <w:rsid w:val="00C47A9B"/>
    <w:rsid w:val="00C63744"/>
    <w:rsid w:val="00C65688"/>
    <w:rsid w:val="00C84F6F"/>
    <w:rsid w:val="00C93942"/>
    <w:rsid w:val="00C97C45"/>
    <w:rsid w:val="00CC075F"/>
    <w:rsid w:val="00CC34AF"/>
    <w:rsid w:val="00CC4DEE"/>
    <w:rsid w:val="00CF21EE"/>
    <w:rsid w:val="00CF669E"/>
    <w:rsid w:val="00D0408C"/>
    <w:rsid w:val="00D04F64"/>
    <w:rsid w:val="00D2077C"/>
    <w:rsid w:val="00D21C2C"/>
    <w:rsid w:val="00D220FE"/>
    <w:rsid w:val="00D316AE"/>
    <w:rsid w:val="00D3330D"/>
    <w:rsid w:val="00D34F0B"/>
    <w:rsid w:val="00D35F18"/>
    <w:rsid w:val="00D47046"/>
    <w:rsid w:val="00D717AB"/>
    <w:rsid w:val="00D71ABF"/>
    <w:rsid w:val="00D90E76"/>
    <w:rsid w:val="00DA10FF"/>
    <w:rsid w:val="00DC3C8A"/>
    <w:rsid w:val="00DE258A"/>
    <w:rsid w:val="00DE4C16"/>
    <w:rsid w:val="00DE595C"/>
    <w:rsid w:val="00E02176"/>
    <w:rsid w:val="00E022E3"/>
    <w:rsid w:val="00E02D3D"/>
    <w:rsid w:val="00E31DE3"/>
    <w:rsid w:val="00E45160"/>
    <w:rsid w:val="00E46BED"/>
    <w:rsid w:val="00E51EBA"/>
    <w:rsid w:val="00E5290B"/>
    <w:rsid w:val="00E60A52"/>
    <w:rsid w:val="00E65154"/>
    <w:rsid w:val="00E65F3D"/>
    <w:rsid w:val="00EB0CE1"/>
    <w:rsid w:val="00EB5D79"/>
    <w:rsid w:val="00EB6DC7"/>
    <w:rsid w:val="00EC294B"/>
    <w:rsid w:val="00EF3DFD"/>
    <w:rsid w:val="00F02708"/>
    <w:rsid w:val="00F10B99"/>
    <w:rsid w:val="00F41B7E"/>
    <w:rsid w:val="00F45069"/>
    <w:rsid w:val="00F60C96"/>
    <w:rsid w:val="00F651D3"/>
    <w:rsid w:val="00F66E0E"/>
    <w:rsid w:val="00F81010"/>
    <w:rsid w:val="00F827A2"/>
    <w:rsid w:val="00F929B7"/>
    <w:rsid w:val="00F953E8"/>
    <w:rsid w:val="00FB176A"/>
    <w:rsid w:val="00FD2286"/>
    <w:rsid w:val="00FD7BD9"/>
    <w:rsid w:val="253988D7"/>
    <w:rsid w:val="2DE2AD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BB3F3"/>
  <w15:chartTrackingRefBased/>
  <w15:docId w15:val="{B6CFBBF7-4857-427A-9B94-D121F90C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FB5"/>
    <w:rPr>
      <w:rFonts w:ascii="Verdana" w:hAnsi="Verdana"/>
      <w:sz w:val="24"/>
    </w:rPr>
  </w:style>
  <w:style w:type="paragraph" w:styleId="Heading1">
    <w:name w:val="heading 1"/>
    <w:basedOn w:val="Normal"/>
    <w:next w:val="Normal"/>
    <w:link w:val="Heading1Char"/>
    <w:uiPriority w:val="9"/>
    <w:qFormat/>
    <w:rsid w:val="00924AFB"/>
    <w:pPr>
      <w:keepNext/>
      <w:keepLines/>
      <w:spacing w:before="360"/>
      <w:outlineLvl w:val="0"/>
    </w:pPr>
    <w:rPr>
      <w:rFonts w:ascii="Georgia" w:hAnsi="Georgia"/>
      <w:color w:val="003768"/>
      <w:sz w:val="44"/>
      <w:szCs w:val="44"/>
    </w:rPr>
  </w:style>
  <w:style w:type="paragraph" w:styleId="Heading2">
    <w:name w:val="heading 2"/>
    <w:basedOn w:val="Normal"/>
    <w:next w:val="Normal"/>
    <w:link w:val="Heading2Char"/>
    <w:uiPriority w:val="9"/>
    <w:unhideWhenUsed/>
    <w:qFormat/>
    <w:rsid w:val="00F66E0E"/>
    <w:pPr>
      <w:keepNext/>
      <w:spacing w:before="120"/>
      <w:outlineLvl w:val="1"/>
    </w:pPr>
    <w:rPr>
      <w:rFonts w:ascii="Georgia" w:eastAsiaTheme="majorEastAsia" w:hAnsi="Georgia" w:cs="Arial"/>
      <w:bCs/>
      <w:color w:val="003768"/>
      <w:spacing w:val="-4"/>
      <w:kern w:val="32"/>
      <w:sz w:val="32"/>
      <w:szCs w:val="32"/>
      <w:lang w:eastAsia="en-GB"/>
    </w:rPr>
  </w:style>
  <w:style w:type="paragraph" w:styleId="Heading3">
    <w:name w:val="heading 3"/>
    <w:basedOn w:val="Normal"/>
    <w:next w:val="Normal"/>
    <w:link w:val="Heading3Char"/>
    <w:uiPriority w:val="9"/>
    <w:unhideWhenUsed/>
    <w:qFormat/>
    <w:rsid w:val="00F66E0E"/>
    <w:pPr>
      <w:keepNext/>
      <w:keepLines/>
      <w:tabs>
        <w:tab w:val="left" w:pos="1021"/>
      </w:tabs>
      <w:spacing w:before="120"/>
      <w:outlineLvl w:val="2"/>
    </w:pPr>
    <w:rPr>
      <w:rFonts w:eastAsiaTheme="majorEastAsia" w:cstheme="majorBidi"/>
      <w:b/>
      <w:color w:val="003768"/>
      <w:szCs w:val="24"/>
      <w:lang w:eastAsia="en-GB"/>
    </w:rPr>
  </w:style>
  <w:style w:type="paragraph" w:styleId="Heading4">
    <w:name w:val="heading 4"/>
    <w:basedOn w:val="Normal"/>
    <w:next w:val="Normal"/>
    <w:link w:val="Heading4Char"/>
    <w:uiPriority w:val="9"/>
    <w:unhideWhenUsed/>
    <w:qFormat/>
    <w:rsid w:val="00F66E0E"/>
    <w:pPr>
      <w:keepNext/>
      <w:keepLines/>
      <w:spacing w:before="120"/>
      <w:outlineLvl w:val="3"/>
    </w:pPr>
    <w:rPr>
      <w:rFonts w:eastAsiaTheme="majorEastAsia" w:cstheme="majorBidi"/>
      <w:iCs/>
      <w:color w:val="003768"/>
    </w:rPr>
  </w:style>
  <w:style w:type="paragraph" w:styleId="Heading5">
    <w:name w:val="heading 5"/>
    <w:basedOn w:val="Normal"/>
    <w:next w:val="Normal"/>
    <w:link w:val="Heading5Char"/>
    <w:uiPriority w:val="9"/>
    <w:semiHidden/>
    <w:unhideWhenUsed/>
    <w:rsid w:val="00A722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24AFB"/>
    <w:pPr>
      <w:keepNext/>
      <w:keepLines/>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924AFB"/>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924AF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4AF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AFB"/>
    <w:rPr>
      <w:rFonts w:ascii="Georgia" w:hAnsi="Georgia"/>
      <w:color w:val="003768"/>
      <w:sz w:val="44"/>
      <w:szCs w:val="44"/>
    </w:rPr>
  </w:style>
  <w:style w:type="character" w:customStyle="1" w:styleId="Heading2Char">
    <w:name w:val="Heading 2 Char"/>
    <w:basedOn w:val="DefaultParagraphFont"/>
    <w:link w:val="Heading2"/>
    <w:uiPriority w:val="9"/>
    <w:rsid w:val="00F66E0E"/>
    <w:rPr>
      <w:rFonts w:ascii="Georgia" w:eastAsiaTheme="majorEastAsia" w:hAnsi="Georgia" w:cs="Arial"/>
      <w:bCs/>
      <w:color w:val="003768"/>
      <w:spacing w:val="-4"/>
      <w:kern w:val="32"/>
      <w:sz w:val="32"/>
      <w:szCs w:val="32"/>
      <w:lang w:eastAsia="en-GB"/>
    </w:rPr>
  </w:style>
  <w:style w:type="character" w:customStyle="1" w:styleId="Heading3Char">
    <w:name w:val="Heading 3 Char"/>
    <w:basedOn w:val="DefaultParagraphFont"/>
    <w:link w:val="Heading3"/>
    <w:uiPriority w:val="9"/>
    <w:rsid w:val="00F66E0E"/>
    <w:rPr>
      <w:rFonts w:ascii="Verdana" w:eastAsiaTheme="majorEastAsia" w:hAnsi="Verdana" w:cstheme="majorBidi"/>
      <w:b/>
      <w:color w:val="003768"/>
      <w:sz w:val="24"/>
      <w:szCs w:val="24"/>
      <w:lang w:eastAsia="en-GB"/>
    </w:rPr>
  </w:style>
  <w:style w:type="character" w:customStyle="1" w:styleId="Heading4Char">
    <w:name w:val="Heading 4 Char"/>
    <w:basedOn w:val="DefaultParagraphFont"/>
    <w:link w:val="Heading4"/>
    <w:uiPriority w:val="9"/>
    <w:rsid w:val="00F66E0E"/>
    <w:rPr>
      <w:rFonts w:ascii="Verdana" w:eastAsiaTheme="majorEastAsia" w:hAnsi="Verdana" w:cstheme="majorBidi"/>
      <w:iCs/>
      <w:color w:val="003768"/>
      <w:sz w:val="24"/>
    </w:rPr>
  </w:style>
  <w:style w:type="character" w:customStyle="1" w:styleId="Heading5Char">
    <w:name w:val="Heading 5 Char"/>
    <w:basedOn w:val="DefaultParagraphFont"/>
    <w:link w:val="Heading5"/>
    <w:uiPriority w:val="9"/>
    <w:semiHidden/>
    <w:rsid w:val="00A722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4AFB"/>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924AFB"/>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924A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24AFB"/>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uiPriority w:val="10"/>
    <w:qFormat/>
    <w:rsid w:val="00924AFB"/>
    <w:pPr>
      <w:spacing w:before="1200" w:after="240"/>
    </w:pPr>
    <w:rPr>
      <w:rFonts w:ascii="Georgia" w:eastAsiaTheme="majorEastAsia" w:hAnsi="Georgia" w:cs="Arial"/>
      <w:bCs/>
      <w:noProof/>
      <w:color w:val="003768"/>
      <w:kern w:val="28"/>
      <w:sz w:val="56"/>
      <w:szCs w:val="56"/>
    </w:rPr>
  </w:style>
  <w:style w:type="character" w:customStyle="1" w:styleId="TitleChar">
    <w:name w:val="Title Char"/>
    <w:basedOn w:val="DefaultParagraphFont"/>
    <w:link w:val="Title"/>
    <w:uiPriority w:val="10"/>
    <w:rsid w:val="00924AFB"/>
    <w:rPr>
      <w:rFonts w:ascii="Georgia" w:eastAsiaTheme="majorEastAsia" w:hAnsi="Georgia" w:cs="Arial"/>
      <w:bCs/>
      <w:noProof/>
      <w:color w:val="003768"/>
      <w:kern w:val="28"/>
      <w:sz w:val="56"/>
      <w:szCs w:val="56"/>
    </w:rPr>
  </w:style>
  <w:style w:type="paragraph" w:styleId="Subtitle">
    <w:name w:val="Subtitle"/>
    <w:basedOn w:val="Normal"/>
    <w:next w:val="Normal"/>
    <w:link w:val="SubtitleChar"/>
    <w:uiPriority w:val="11"/>
    <w:rsid w:val="00A7226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2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226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72263"/>
    <w:rPr>
      <w:rFonts w:ascii="Verdana" w:hAnsi="Verdana"/>
      <w:i/>
      <w:iCs/>
      <w:color w:val="404040" w:themeColor="text1" w:themeTint="BF"/>
    </w:rPr>
  </w:style>
  <w:style w:type="paragraph" w:styleId="ListParagraph">
    <w:name w:val="List Paragraph"/>
    <w:basedOn w:val="Normal"/>
    <w:uiPriority w:val="34"/>
    <w:qFormat/>
    <w:rsid w:val="00A72263"/>
    <w:pPr>
      <w:ind w:left="720"/>
      <w:contextualSpacing/>
    </w:pPr>
  </w:style>
  <w:style w:type="character" w:styleId="IntenseEmphasis">
    <w:name w:val="Intense Emphasis"/>
    <w:basedOn w:val="DefaultParagraphFont"/>
    <w:uiPriority w:val="21"/>
    <w:rsid w:val="00A72263"/>
    <w:rPr>
      <w:i/>
      <w:iCs/>
      <w:color w:val="0F4761" w:themeColor="accent1" w:themeShade="BF"/>
    </w:rPr>
  </w:style>
  <w:style w:type="paragraph" w:styleId="IntenseQuote">
    <w:name w:val="Intense Quote"/>
    <w:basedOn w:val="Normal"/>
    <w:next w:val="Normal"/>
    <w:link w:val="IntenseQuoteChar"/>
    <w:uiPriority w:val="30"/>
    <w:qFormat/>
    <w:rsid w:val="00A7226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A72263"/>
    <w:rPr>
      <w:rFonts w:ascii="Verdana" w:hAnsi="Verdana"/>
      <w:i/>
      <w:iCs/>
      <w:color w:val="156082" w:themeColor="accent1"/>
    </w:rPr>
  </w:style>
  <w:style w:type="character" w:styleId="IntenseReference">
    <w:name w:val="Intense Reference"/>
    <w:basedOn w:val="DefaultParagraphFont"/>
    <w:uiPriority w:val="32"/>
    <w:rsid w:val="00A72263"/>
    <w:rPr>
      <w:b/>
      <w:bCs/>
      <w:smallCaps/>
      <w:color w:val="0F4761" w:themeColor="accent1" w:themeShade="BF"/>
      <w:spacing w:val="5"/>
    </w:rPr>
  </w:style>
  <w:style w:type="character" w:styleId="PlaceholderText">
    <w:name w:val="Placeholder Text"/>
    <w:basedOn w:val="DefaultParagraphFont"/>
    <w:uiPriority w:val="99"/>
    <w:semiHidden/>
    <w:rsid w:val="00924AFB"/>
    <w:rPr>
      <w:color w:val="666666"/>
    </w:rPr>
  </w:style>
  <w:style w:type="paragraph" w:customStyle="1" w:styleId="Tabletext">
    <w:name w:val="Table text"/>
    <w:basedOn w:val="Normal"/>
    <w:link w:val="TabletextChar"/>
    <w:qFormat/>
    <w:rsid w:val="00924AFB"/>
    <w:pPr>
      <w:spacing w:before="60" w:after="60"/>
    </w:pPr>
    <w:rPr>
      <w:lang w:eastAsia="en-GB"/>
    </w:rPr>
  </w:style>
  <w:style w:type="character" w:customStyle="1" w:styleId="TabletextChar">
    <w:name w:val="Table text Char"/>
    <w:basedOn w:val="DefaultParagraphFont"/>
    <w:link w:val="Tabletext"/>
    <w:rsid w:val="00924AFB"/>
    <w:rPr>
      <w:rFonts w:ascii="Verdana" w:hAnsi="Verdana"/>
      <w:color w:val="54534A"/>
      <w:lang w:eastAsia="en-GB"/>
    </w:rPr>
  </w:style>
  <w:style w:type="paragraph" w:customStyle="1" w:styleId="Tableheading">
    <w:name w:val="Table heading"/>
    <w:basedOn w:val="Tabletext"/>
    <w:link w:val="TableheadingChar"/>
    <w:qFormat/>
    <w:rsid w:val="00924AFB"/>
    <w:pPr>
      <w:spacing w:before="80" w:after="80"/>
    </w:pPr>
    <w:rPr>
      <w:b/>
      <w:bCs/>
      <w:color w:val="003768"/>
    </w:rPr>
  </w:style>
  <w:style w:type="character" w:customStyle="1" w:styleId="TableheadingChar">
    <w:name w:val="Table heading Char"/>
    <w:basedOn w:val="DefaultParagraphFont"/>
    <w:link w:val="Tableheading"/>
    <w:rsid w:val="00924AFB"/>
    <w:rPr>
      <w:rFonts w:ascii="Verdana" w:hAnsi="Verdana"/>
      <w:b/>
      <w:bCs/>
      <w:color w:val="003768"/>
      <w:lang w:eastAsia="en-GB"/>
    </w:rPr>
  </w:style>
  <w:style w:type="paragraph" w:customStyle="1" w:styleId="Textboxheading">
    <w:name w:val="Text box heading"/>
    <w:basedOn w:val="Normal"/>
    <w:link w:val="TextboxheadingChar"/>
    <w:qFormat/>
    <w:rsid w:val="00924AFB"/>
    <w:pPr>
      <w:widowControl w:val="0"/>
      <w:pBdr>
        <w:top w:val="single" w:sz="4" w:space="10" w:color="E9F8FB"/>
        <w:left w:val="single" w:sz="4" w:space="8" w:color="E9F8FB"/>
        <w:bottom w:val="single" w:sz="4" w:space="10" w:color="E9F8FB"/>
        <w:right w:val="single" w:sz="4" w:space="8" w:color="E9F8FB"/>
      </w:pBdr>
      <w:shd w:val="clear" w:color="auto" w:fill="E9F8FB"/>
      <w:spacing w:before="240"/>
    </w:pPr>
    <w:rPr>
      <w:b/>
      <w:bCs/>
      <w:color w:val="003768"/>
      <w:szCs w:val="23"/>
    </w:rPr>
  </w:style>
  <w:style w:type="character" w:customStyle="1" w:styleId="TextboxheadingChar">
    <w:name w:val="Text box heading Char"/>
    <w:basedOn w:val="DefaultParagraphFont"/>
    <w:link w:val="Textboxheading"/>
    <w:rsid w:val="00924AFB"/>
    <w:rPr>
      <w:rFonts w:ascii="Verdana" w:hAnsi="Verdana"/>
      <w:b/>
      <w:bCs/>
      <w:color w:val="003768"/>
      <w:szCs w:val="23"/>
      <w:shd w:val="clear" w:color="auto" w:fill="E9F8FB"/>
    </w:rPr>
  </w:style>
  <w:style w:type="paragraph" w:customStyle="1" w:styleId="Textbox">
    <w:name w:val="Text box"/>
    <w:basedOn w:val="Textboxheading"/>
    <w:link w:val="TextboxChar"/>
    <w:qFormat/>
    <w:rsid w:val="00924AFB"/>
    <w:pPr>
      <w:spacing w:before="0" w:after="200"/>
    </w:pPr>
    <w:rPr>
      <w:b w:val="0"/>
      <w:bCs w:val="0"/>
      <w:color w:val="54534A"/>
      <w:lang w:val="en"/>
    </w:rPr>
  </w:style>
  <w:style w:type="character" w:customStyle="1" w:styleId="TextboxChar">
    <w:name w:val="Text box Char"/>
    <w:basedOn w:val="TextboxheadingChar"/>
    <w:link w:val="Textbox"/>
    <w:rsid w:val="00924AFB"/>
    <w:rPr>
      <w:rFonts w:ascii="Verdana" w:hAnsi="Verdana"/>
      <w:b w:val="0"/>
      <w:bCs w:val="0"/>
      <w:color w:val="54534A"/>
      <w:szCs w:val="23"/>
      <w:shd w:val="clear" w:color="auto" w:fill="E9F8FB"/>
      <w:lang w:val="en"/>
    </w:rPr>
  </w:style>
  <w:style w:type="paragraph" w:customStyle="1" w:styleId="Bulletpoints">
    <w:name w:val="Bullet points"/>
    <w:basedOn w:val="ListParagraph"/>
    <w:link w:val="BulletpointsChar"/>
    <w:qFormat/>
    <w:rsid w:val="00924AFB"/>
    <w:pPr>
      <w:numPr>
        <w:numId w:val="12"/>
      </w:numPr>
    </w:pPr>
  </w:style>
  <w:style w:type="character" w:customStyle="1" w:styleId="BulletpointsChar">
    <w:name w:val="Bullet points Char"/>
    <w:basedOn w:val="DefaultParagraphFont"/>
    <w:link w:val="Bulletpoints"/>
    <w:rsid w:val="00924AFB"/>
    <w:rPr>
      <w:rFonts w:ascii="Verdana" w:hAnsi="Verdana"/>
      <w:color w:val="54534A"/>
    </w:rPr>
  </w:style>
  <w:style w:type="paragraph" w:customStyle="1" w:styleId="Source">
    <w:name w:val="Source"/>
    <w:basedOn w:val="Normal"/>
    <w:link w:val="SourceChar"/>
    <w:qFormat/>
    <w:rsid w:val="00924AFB"/>
    <w:pPr>
      <w:spacing w:before="120"/>
    </w:pPr>
    <w:rPr>
      <w:rFonts w:eastAsiaTheme="minorEastAsia" w:cs="Arial"/>
      <w:sz w:val="20"/>
      <w:szCs w:val="18"/>
      <w:lang w:eastAsia="en-GB" w:bidi="th-TH"/>
    </w:rPr>
  </w:style>
  <w:style w:type="character" w:customStyle="1" w:styleId="SourceChar">
    <w:name w:val="Source Char"/>
    <w:basedOn w:val="DefaultParagraphFont"/>
    <w:link w:val="Source"/>
    <w:rsid w:val="00924AFB"/>
    <w:rPr>
      <w:rFonts w:ascii="Verdana" w:eastAsiaTheme="minorEastAsia" w:hAnsi="Verdana" w:cs="Arial"/>
      <w:color w:val="54534A"/>
      <w:sz w:val="20"/>
      <w:szCs w:val="18"/>
      <w:lang w:eastAsia="en-GB" w:bidi="th-TH"/>
    </w:rPr>
  </w:style>
  <w:style w:type="paragraph" w:customStyle="1" w:styleId="TextboxheadingB">
    <w:name w:val="Text box heading B"/>
    <w:basedOn w:val="Textboxheading"/>
    <w:link w:val="TextboxheadingBChar"/>
    <w:qFormat/>
    <w:rsid w:val="00924AFB"/>
    <w:pPr>
      <w:pBdr>
        <w:top w:val="single" w:sz="4" w:space="10" w:color="E5EBF0"/>
        <w:left w:val="single" w:sz="4" w:space="8" w:color="E5EBF0"/>
        <w:bottom w:val="single" w:sz="4" w:space="10" w:color="E5EBF0"/>
        <w:right w:val="single" w:sz="4" w:space="8" w:color="E5EBF0"/>
      </w:pBdr>
      <w:shd w:val="clear" w:color="auto" w:fill="E5EBF0"/>
    </w:pPr>
  </w:style>
  <w:style w:type="character" w:customStyle="1" w:styleId="TextboxheadingBChar">
    <w:name w:val="Text box heading B Char"/>
    <w:basedOn w:val="TextboxheadingChar"/>
    <w:link w:val="TextboxheadingB"/>
    <w:rsid w:val="00924AFB"/>
    <w:rPr>
      <w:rFonts w:ascii="Verdana" w:hAnsi="Verdana"/>
      <w:b/>
      <w:bCs/>
      <w:color w:val="003768"/>
      <w:szCs w:val="23"/>
      <w:shd w:val="clear" w:color="auto" w:fill="E5EBF0"/>
    </w:rPr>
  </w:style>
  <w:style w:type="paragraph" w:customStyle="1" w:styleId="TextboxB">
    <w:name w:val="Text box B"/>
    <w:basedOn w:val="Textbox"/>
    <w:link w:val="TextboxBChar"/>
    <w:qFormat/>
    <w:rsid w:val="00924AFB"/>
    <w:pPr>
      <w:pBdr>
        <w:top w:val="single" w:sz="4" w:space="10" w:color="E5EBF0"/>
        <w:left w:val="single" w:sz="4" w:space="8" w:color="E5EBF0"/>
        <w:bottom w:val="single" w:sz="4" w:space="10" w:color="E5EBF0"/>
        <w:right w:val="single" w:sz="4" w:space="8" w:color="E5EBF0"/>
      </w:pBdr>
      <w:shd w:val="clear" w:color="auto" w:fill="E5EBF0"/>
    </w:pPr>
  </w:style>
  <w:style w:type="character" w:customStyle="1" w:styleId="TextboxBChar">
    <w:name w:val="Text box B Char"/>
    <w:basedOn w:val="TextboxChar"/>
    <w:link w:val="TextboxB"/>
    <w:rsid w:val="00924AFB"/>
    <w:rPr>
      <w:rFonts w:ascii="Verdana" w:hAnsi="Verdana"/>
      <w:b w:val="0"/>
      <w:bCs w:val="0"/>
      <w:color w:val="54534A"/>
      <w:szCs w:val="23"/>
      <w:shd w:val="clear" w:color="auto" w:fill="E5EBF0"/>
      <w:lang w:val="en"/>
    </w:rPr>
  </w:style>
  <w:style w:type="paragraph" w:customStyle="1" w:styleId="ListHeading2">
    <w:name w:val="List Heading 2"/>
    <w:basedOn w:val="ListNumber2"/>
    <w:next w:val="ListNumber2"/>
    <w:qFormat/>
    <w:rsid w:val="00924AFB"/>
    <w:pPr>
      <w:keepNext/>
      <w:keepLines/>
      <w:spacing w:before="360"/>
      <w:ind w:left="680" w:hanging="680"/>
      <w:outlineLvl w:val="1"/>
    </w:pPr>
    <w:rPr>
      <w:rFonts w:ascii="Georgia" w:hAnsi="Georgia"/>
      <w:color w:val="003768"/>
      <w:sz w:val="32"/>
      <w:szCs w:val="32"/>
    </w:rPr>
  </w:style>
  <w:style w:type="paragraph" w:styleId="ListNumber2">
    <w:name w:val="List Number 2"/>
    <w:basedOn w:val="Normal"/>
    <w:uiPriority w:val="99"/>
    <w:unhideWhenUsed/>
    <w:qFormat/>
    <w:rsid w:val="00924AFB"/>
    <w:pPr>
      <w:numPr>
        <w:ilvl w:val="1"/>
        <w:numId w:val="16"/>
      </w:numPr>
      <w:contextualSpacing/>
    </w:pPr>
  </w:style>
  <w:style w:type="paragraph" w:customStyle="1" w:styleId="ListHeading1">
    <w:name w:val="List Heading 1"/>
    <w:basedOn w:val="ListNumber"/>
    <w:next w:val="ListNumber"/>
    <w:qFormat/>
    <w:rsid w:val="00924AFB"/>
    <w:pPr>
      <w:keepNext/>
      <w:keepLines/>
      <w:spacing w:before="360"/>
      <w:outlineLvl w:val="0"/>
    </w:pPr>
    <w:rPr>
      <w:rFonts w:ascii="Georgia" w:hAnsi="Georgia"/>
      <w:color w:val="003768"/>
      <w:sz w:val="44"/>
      <w:szCs w:val="44"/>
    </w:rPr>
  </w:style>
  <w:style w:type="paragraph" w:styleId="ListNumber">
    <w:name w:val="List Number"/>
    <w:basedOn w:val="Normal"/>
    <w:uiPriority w:val="99"/>
    <w:unhideWhenUsed/>
    <w:rsid w:val="00924AFB"/>
    <w:pPr>
      <w:numPr>
        <w:numId w:val="16"/>
      </w:numPr>
      <w:ind w:left="567"/>
      <w:contextualSpacing/>
    </w:pPr>
  </w:style>
  <w:style w:type="paragraph" w:customStyle="1" w:styleId="ListHeading3">
    <w:name w:val="List Heading 3"/>
    <w:basedOn w:val="ListNumber3"/>
    <w:next w:val="ListNumber3"/>
    <w:qFormat/>
    <w:rsid w:val="00924AFB"/>
    <w:pPr>
      <w:keepNext/>
      <w:keepLines/>
      <w:tabs>
        <w:tab w:val="left" w:pos="1021"/>
      </w:tabs>
      <w:spacing w:before="360"/>
      <w:ind w:left="851" w:hanging="851"/>
      <w:outlineLvl w:val="2"/>
    </w:pPr>
    <w:rPr>
      <w:b/>
      <w:bCs/>
      <w:color w:val="003768"/>
    </w:rPr>
  </w:style>
  <w:style w:type="paragraph" w:styleId="ListNumber3">
    <w:name w:val="List Number 3"/>
    <w:basedOn w:val="Normal"/>
    <w:uiPriority w:val="99"/>
    <w:semiHidden/>
    <w:unhideWhenUsed/>
    <w:qFormat/>
    <w:rsid w:val="00924AFB"/>
    <w:pPr>
      <w:numPr>
        <w:ilvl w:val="2"/>
        <w:numId w:val="16"/>
      </w:numPr>
      <w:contextualSpacing/>
    </w:pPr>
  </w:style>
  <w:style w:type="paragraph" w:customStyle="1" w:styleId="ListHeading4">
    <w:name w:val="List Heading 4"/>
    <w:basedOn w:val="ListNumber4"/>
    <w:next w:val="ListNumber4"/>
    <w:qFormat/>
    <w:rsid w:val="00924AFB"/>
    <w:pPr>
      <w:keepNext/>
      <w:keepLines/>
      <w:spacing w:before="360"/>
      <w:outlineLvl w:val="3"/>
    </w:pPr>
    <w:rPr>
      <w:color w:val="003768"/>
    </w:rPr>
  </w:style>
  <w:style w:type="paragraph" w:styleId="ListNumber4">
    <w:name w:val="List Number 4"/>
    <w:basedOn w:val="Normal"/>
    <w:uiPriority w:val="99"/>
    <w:semiHidden/>
    <w:unhideWhenUsed/>
    <w:rsid w:val="00924AFB"/>
    <w:pPr>
      <w:numPr>
        <w:ilvl w:val="3"/>
        <w:numId w:val="16"/>
      </w:numPr>
      <w:contextualSpacing/>
    </w:pPr>
  </w:style>
  <w:style w:type="paragraph" w:styleId="Header">
    <w:name w:val="header"/>
    <w:basedOn w:val="Normal"/>
    <w:link w:val="HeaderChar"/>
    <w:uiPriority w:val="99"/>
    <w:unhideWhenUsed/>
    <w:qFormat/>
    <w:rsid w:val="0039434B"/>
    <w:pPr>
      <w:tabs>
        <w:tab w:val="center" w:pos="4513"/>
        <w:tab w:val="right" w:pos="9026"/>
      </w:tabs>
      <w:spacing w:after="0" w:line="240" w:lineRule="auto"/>
    </w:pPr>
    <w:rPr>
      <w:color w:val="002060"/>
      <w:sz w:val="18"/>
      <w:szCs w:val="18"/>
    </w:rPr>
  </w:style>
  <w:style w:type="character" w:customStyle="1" w:styleId="HeaderChar">
    <w:name w:val="Header Char"/>
    <w:basedOn w:val="DefaultParagraphFont"/>
    <w:link w:val="Header"/>
    <w:uiPriority w:val="99"/>
    <w:rsid w:val="0039434B"/>
    <w:rPr>
      <w:rFonts w:ascii="Verdana" w:hAnsi="Verdana"/>
      <w:color w:val="002060"/>
      <w:sz w:val="18"/>
      <w:szCs w:val="18"/>
    </w:rPr>
  </w:style>
  <w:style w:type="paragraph" w:styleId="Caption">
    <w:name w:val="caption"/>
    <w:basedOn w:val="Normal"/>
    <w:next w:val="Normal"/>
    <w:uiPriority w:val="1"/>
    <w:semiHidden/>
    <w:unhideWhenUsed/>
    <w:qFormat/>
    <w:rsid w:val="00924AFB"/>
    <w:pPr>
      <w:keepNext/>
      <w:spacing w:before="200"/>
    </w:pPr>
    <w:rPr>
      <w:rFonts w:eastAsia="Times New Roman" w:cs="Arial"/>
      <w:bCs/>
      <w:color w:val="003768"/>
      <w:sz w:val="20"/>
      <w:szCs w:val="20"/>
      <w:lang w:eastAsia="en-GB"/>
    </w:rPr>
  </w:style>
  <w:style w:type="character" w:styleId="FollowedHyperlink">
    <w:name w:val="FollowedHyperlink"/>
    <w:basedOn w:val="DefaultParagraphFont"/>
    <w:uiPriority w:val="99"/>
    <w:semiHidden/>
    <w:unhideWhenUsed/>
    <w:qFormat/>
    <w:rsid w:val="00924AFB"/>
    <w:rPr>
      <w:color w:val="791D7E"/>
      <w:u w:val="single"/>
    </w:rPr>
  </w:style>
  <w:style w:type="paragraph" w:styleId="TOCHeading">
    <w:name w:val="TOC Heading"/>
    <w:basedOn w:val="Heading1"/>
    <w:next w:val="Normal"/>
    <w:uiPriority w:val="39"/>
    <w:semiHidden/>
    <w:unhideWhenUsed/>
    <w:qFormat/>
    <w:rsid w:val="00924AFB"/>
    <w:pPr>
      <w:spacing w:before="0" w:after="200"/>
      <w:outlineLvl w:val="9"/>
    </w:pPr>
    <w:rPr>
      <w:rFonts w:cstheme="majorBidi"/>
      <w:bCs/>
      <w:lang w:val="en-US"/>
    </w:rPr>
  </w:style>
  <w:style w:type="paragraph" w:styleId="FootnoteText">
    <w:name w:val="footnote text"/>
    <w:basedOn w:val="Normal"/>
    <w:link w:val="FootnoteTextChar"/>
    <w:uiPriority w:val="99"/>
    <w:semiHidden/>
    <w:unhideWhenUsed/>
    <w:rsid w:val="007A17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1707"/>
    <w:rPr>
      <w:rFonts w:ascii="Verdana" w:hAnsi="Verdana"/>
      <w:color w:val="54534A"/>
      <w:sz w:val="20"/>
      <w:szCs w:val="20"/>
    </w:rPr>
  </w:style>
  <w:style w:type="character" w:styleId="FootnoteReference">
    <w:name w:val="footnote reference"/>
    <w:basedOn w:val="DefaultParagraphFont"/>
    <w:uiPriority w:val="99"/>
    <w:semiHidden/>
    <w:unhideWhenUsed/>
    <w:rsid w:val="007A1707"/>
    <w:rPr>
      <w:vertAlign w:val="superscript"/>
    </w:rPr>
  </w:style>
  <w:style w:type="character" w:styleId="Hyperlink">
    <w:name w:val="Hyperlink"/>
    <w:basedOn w:val="DefaultParagraphFont"/>
    <w:uiPriority w:val="99"/>
    <w:unhideWhenUsed/>
    <w:rsid w:val="008C6640"/>
    <w:rPr>
      <w:color w:val="467886" w:themeColor="hyperlink"/>
      <w:u w:val="single"/>
    </w:rPr>
  </w:style>
  <w:style w:type="character" w:styleId="UnresolvedMention">
    <w:name w:val="Unresolved Mention"/>
    <w:basedOn w:val="DefaultParagraphFont"/>
    <w:uiPriority w:val="99"/>
    <w:semiHidden/>
    <w:unhideWhenUsed/>
    <w:rsid w:val="008C6640"/>
    <w:rPr>
      <w:color w:val="605E5C"/>
      <w:shd w:val="clear" w:color="auto" w:fill="E1DFDD"/>
    </w:rPr>
  </w:style>
  <w:style w:type="paragraph" w:styleId="Revision">
    <w:name w:val="Revision"/>
    <w:hidden/>
    <w:uiPriority w:val="99"/>
    <w:semiHidden/>
    <w:rsid w:val="00416B0A"/>
    <w:pPr>
      <w:spacing w:after="0" w:line="240" w:lineRule="auto"/>
    </w:pPr>
    <w:rPr>
      <w:rFonts w:ascii="Verdana" w:hAnsi="Verdana"/>
      <w:color w:val="54534A"/>
    </w:rPr>
  </w:style>
  <w:style w:type="character" w:styleId="CommentReference">
    <w:name w:val="annotation reference"/>
    <w:basedOn w:val="DefaultParagraphFont"/>
    <w:uiPriority w:val="99"/>
    <w:semiHidden/>
    <w:unhideWhenUsed/>
    <w:rsid w:val="00416B0A"/>
    <w:rPr>
      <w:sz w:val="16"/>
      <w:szCs w:val="16"/>
    </w:rPr>
  </w:style>
  <w:style w:type="paragraph" w:styleId="CommentText">
    <w:name w:val="annotation text"/>
    <w:basedOn w:val="Normal"/>
    <w:link w:val="CommentTextChar"/>
    <w:uiPriority w:val="99"/>
    <w:unhideWhenUsed/>
    <w:rsid w:val="00416B0A"/>
    <w:pPr>
      <w:spacing w:line="240" w:lineRule="auto"/>
    </w:pPr>
    <w:rPr>
      <w:sz w:val="20"/>
      <w:szCs w:val="20"/>
    </w:rPr>
  </w:style>
  <w:style w:type="character" w:customStyle="1" w:styleId="CommentTextChar">
    <w:name w:val="Comment Text Char"/>
    <w:basedOn w:val="DefaultParagraphFont"/>
    <w:link w:val="CommentText"/>
    <w:uiPriority w:val="99"/>
    <w:rsid w:val="00416B0A"/>
    <w:rPr>
      <w:rFonts w:ascii="Verdana" w:hAnsi="Verdana"/>
      <w:color w:val="54534A"/>
      <w:sz w:val="20"/>
      <w:szCs w:val="20"/>
    </w:rPr>
  </w:style>
  <w:style w:type="paragraph" w:styleId="CommentSubject">
    <w:name w:val="annotation subject"/>
    <w:basedOn w:val="CommentText"/>
    <w:next w:val="CommentText"/>
    <w:link w:val="CommentSubjectChar"/>
    <w:uiPriority w:val="99"/>
    <w:semiHidden/>
    <w:unhideWhenUsed/>
    <w:rsid w:val="00416B0A"/>
    <w:rPr>
      <w:b/>
      <w:bCs/>
    </w:rPr>
  </w:style>
  <w:style w:type="character" w:customStyle="1" w:styleId="CommentSubjectChar">
    <w:name w:val="Comment Subject Char"/>
    <w:basedOn w:val="CommentTextChar"/>
    <w:link w:val="CommentSubject"/>
    <w:uiPriority w:val="99"/>
    <w:semiHidden/>
    <w:rsid w:val="00416B0A"/>
    <w:rPr>
      <w:rFonts w:ascii="Verdana" w:hAnsi="Verdana"/>
      <w:b/>
      <w:bCs/>
      <w:color w:val="54534A"/>
      <w:sz w:val="20"/>
      <w:szCs w:val="20"/>
    </w:rPr>
  </w:style>
  <w:style w:type="paragraph" w:styleId="Footer">
    <w:name w:val="footer"/>
    <w:basedOn w:val="Normal"/>
    <w:link w:val="FooterChar"/>
    <w:uiPriority w:val="99"/>
    <w:unhideWhenUsed/>
    <w:rsid w:val="002B3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0A0"/>
    <w:rPr>
      <w:rFonts w:ascii="Verdana" w:hAnsi="Verdana"/>
      <w:color w:val="5453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644232">
      <w:bodyDiv w:val="1"/>
      <w:marLeft w:val="0"/>
      <w:marRight w:val="0"/>
      <w:marTop w:val="0"/>
      <w:marBottom w:val="0"/>
      <w:divBdr>
        <w:top w:val="none" w:sz="0" w:space="0" w:color="auto"/>
        <w:left w:val="none" w:sz="0" w:space="0" w:color="auto"/>
        <w:bottom w:val="none" w:sz="0" w:space="0" w:color="auto"/>
        <w:right w:val="none" w:sz="0" w:space="0" w:color="auto"/>
      </w:divBdr>
    </w:div>
    <w:div w:id="1731927786">
      <w:bodyDiv w:val="1"/>
      <w:marLeft w:val="0"/>
      <w:marRight w:val="0"/>
      <w:marTop w:val="0"/>
      <w:marBottom w:val="0"/>
      <w:divBdr>
        <w:top w:val="none" w:sz="0" w:space="0" w:color="auto"/>
        <w:left w:val="none" w:sz="0" w:space="0" w:color="auto"/>
        <w:bottom w:val="none" w:sz="0" w:space="0" w:color="auto"/>
        <w:right w:val="none" w:sz="0" w:space="0" w:color="auto"/>
      </w:divBdr>
    </w:div>
    <w:div w:id="18908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about-the-ico/our-information/minutes-and-papers/audit-and-risk-committe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6495cd43-30b7-45da-972d-05dc6321e6bd">Official</Security_x0020_classification>
    <Email_x0020_Date xmlns="6495cd43-30b7-45da-972d-05dc6321e6bd" xsi:nil="true"/>
    <SourcePath xmlns="9b8b6395-13cb-4870-bad8-69d468a59b46" xsi:nil="true"/>
    <SourceCreatedBy xmlns="9b8b6395-13cb-4870-bad8-69d468a59b46" xsi:nil="true"/>
    <SourceDocID xmlns="9b8b6395-13cb-4870-bad8-69d468a59b46" xsi:nil="true"/>
    <SourceModifiedBy xmlns="9b8b6395-13cb-4870-bad8-69d468a59b46" xsi:nil="true"/>
    <SourceContentType xmlns="9b8b6395-13cb-4870-bad8-69d468a59b46" xsi:nil="true"/>
    <Date1 xmlns="6495cd43-30b7-45da-972d-05dc6321e6bd">2025-06-15T23:00:00+00:00</Date1>
    <TaxCatchAll xmlns="e3712200-3558-479a-b913-a7da32b83f9e" xsi:nil="true"/>
    <GC_x0020_Category xmlns="6495cd43-30b7-45da-972d-05dc6321e6bd">Papers</GC_x0020_Category>
    <Year xmlns="6495cd43-30b7-45da-972d-05dc6321e6bd">2025</Year>
    <Security_x0020_classification xmlns="c6c27c95-3233-4d57-95d6-ccfedf02ef5e">Official</Security_x0020_classification>
    <Item_x0020_number xmlns="3d4d1b16-694e-40b6-b7c1-73e383d2ebc9">7.2</Item_x0020_number>
    <For_x0020_publication xmlns="3d4d1b16-694e-40b6-b7c1-73e383d2ebc9">Internal and external</For_x0020_publication>
    <TaxKeywordTaxHTField xmlns="3d4d1b16-694e-40b6-b7c1-73e383d2ebc9">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DC25399D65574DB691AC3650927648" ma:contentTypeVersion="27" ma:contentTypeDescription="Create a new document." ma:contentTypeScope="" ma:versionID="4557351316b25ac74ff4820c3cd52cf0">
  <xsd:schema xmlns:xsd="http://www.w3.org/2001/XMLSchema" xmlns:xs="http://www.w3.org/2001/XMLSchema" xmlns:p="http://schemas.microsoft.com/office/2006/metadata/properties" xmlns:ns2="3d4d1b16-694e-40b6-b7c1-73e383d2ebc9" xmlns:ns3="c6c27c95-3233-4d57-95d6-ccfedf02ef5e" xmlns:ns4="6495cd43-30b7-45da-972d-05dc6321e6bd" xmlns:ns6="9b8b6395-13cb-4870-bad8-69d468a59b46" xmlns:ns7="e3712200-3558-479a-b913-a7da32b83f9e" targetNamespace="http://schemas.microsoft.com/office/2006/metadata/properties" ma:root="true" ma:fieldsID="f6cfa9899ae257446a3dafc2b94a3b12" ns2:_="" ns3:_="" ns4:_="" ns6:_="" ns7:_="">
    <xsd:import namespace="3d4d1b16-694e-40b6-b7c1-73e383d2ebc9"/>
    <xsd:import namespace="c6c27c95-3233-4d57-95d6-ccfedf02ef5e"/>
    <xsd:import namespace="6495cd43-30b7-45da-972d-05dc6321e6bd"/>
    <xsd:import namespace="9b8b6395-13cb-4870-bad8-69d468a59b46"/>
    <xsd:import namespace="e3712200-3558-479a-b913-a7da32b83f9e"/>
    <xsd:element name="properties">
      <xsd:complexType>
        <xsd:sequence>
          <xsd:element name="documentManagement">
            <xsd:complexType>
              <xsd:all>
                <xsd:element ref="ns2:Item_x0020_number" minOccurs="0"/>
                <xsd:element ref="ns3:Security_x0020_classification"/>
                <xsd:element ref="ns2:For_x0020_publication" minOccurs="0"/>
                <xsd:element ref="ns4:Date1"/>
                <xsd:element ref="ns4:Year"/>
                <xsd:element ref="ns4:GC_x0020_Category" minOccurs="0"/>
                <xsd:element ref="ns4:Security_x0020_classification" minOccurs="0"/>
                <xsd:element ref="ns4:Email_x0020_Date" minOccurs="0"/>
                <xsd:element ref="ns6:SourceCreatedBy" minOccurs="0"/>
                <xsd:element ref="ns6:SourceModifiedBy" minOccurs="0"/>
                <xsd:element ref="ns6:SourceContentType" minOccurs="0"/>
                <xsd:element ref="ns6:SourceDocID" minOccurs="0"/>
                <xsd:element ref="ns6:SourcePath" minOccurs="0"/>
                <xsd:element ref="ns2:TaxKeywordTaxHTField" minOccurs="0"/>
                <xsd:element ref="ns7:TaxCatchAll" minOccurs="0"/>
                <xsd:element ref="ns6:MediaServiceMetadata" minOccurs="0"/>
                <xsd:element ref="ns6:MediaServiceFastMetadata"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d1b16-694e-40b6-b7c1-73e383d2ebc9" elementFormDefault="qualified">
    <xsd:import namespace="http://schemas.microsoft.com/office/2006/documentManagement/types"/>
    <xsd:import namespace="http://schemas.microsoft.com/office/infopath/2007/PartnerControls"/>
    <xsd:element name="Item_x0020_number" ma:index="2" nillable="true" ma:displayName="Item number" ma:internalName="Item_x0020_number">
      <xsd:simpleType>
        <xsd:restriction base="dms:Number"/>
      </xsd:simpleType>
    </xsd:element>
    <xsd:element name="For_x0020_publication" ma:index="4" nillable="true" ma:displayName="For publication" ma:format="Dropdown" ma:internalName="For_x0020_publication">
      <xsd:simpleType>
        <xsd:restriction base="dms:Choice">
          <xsd:enumeration value="No"/>
          <xsd:enumeration value="Internal only"/>
          <xsd:enumeration value="Internal and external"/>
        </xsd:restriction>
      </xsd:simpleType>
    </xsd:element>
    <xsd:element name="TaxKeywordTaxHTField" ma:index="18" nillable="true" ma:taxonomy="true" ma:internalName="TaxKeywordTaxHTField" ma:taxonomyFieldName="TaxKeyword" ma:displayName="Enterprise Keywords" ma:readOnly="false" ma:fieldId="{23f27201-bee3-471e-b2e7-b64fd8b7ca38}" ma:taxonomyMulti="true" ma:sspId="2916f62c-cab5-473d-836a-761e218eec0c"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c27c95-3233-4d57-95d6-ccfedf02ef5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ternalName="Security_x0020_classification">
      <xsd:simpleType>
        <xsd:union memberTypes="dms:Text">
          <xsd:simpleType>
            <xsd:restriction base="dms:Choice">
              <xsd:enumeration value="Official"/>
              <xsd:enumeration value="Official - sensitiv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495cd43-30b7-45da-972d-05dc6321e6bd" elementFormDefault="qualified">
    <xsd:import namespace="http://schemas.microsoft.com/office/2006/documentManagement/types"/>
    <xsd:import namespace="http://schemas.microsoft.com/office/infopath/2007/PartnerControls"/>
    <xsd:element name="Date1" ma:index="5" ma:displayName="Date" ma:format="DateOnly" ma:internalName="Date1" ma:readOnly="false">
      <xsd:simpleType>
        <xsd:restriction base="dms:DateTime"/>
      </xsd:simpleType>
    </xsd:element>
    <xsd:element name="Year" ma:index="6" ma:displayName="Year" ma:default="2021" ma:indexed="true" ma:internalName="Year" ma:readOnly="false">
      <xsd:simpleType>
        <xsd:restriction base="dms:Text">
          <xsd:maxLength value="255"/>
        </xsd:restriction>
      </xsd:simpleType>
    </xsd:element>
    <xsd:element name="GC_x0020_Category" ma:index="7" nillable="true" ma:displayName="GC Category" ma:format="Dropdown" ma:internalName="GC_x0020_Category">
      <xsd:simpleType>
        <xsd:union memberTypes="dms:Text">
          <xsd:simpleType>
            <xsd:restriction base="dms:Choice">
              <xsd:enumeration value="Admin"/>
              <xsd:enumeration value="Agenda"/>
              <xsd:enumeration value="Annual Report"/>
              <xsd:enumeration value="Minutes - Agreed"/>
              <xsd:enumeration value="Minutes - Draft"/>
              <xsd:enumeration value="Officials Correspondence"/>
              <xsd:enumeration value="Papers"/>
              <xsd:enumeration value="Papers - published"/>
              <xsd:enumeration value="Register - Current Entry"/>
              <xsd:enumeration value="Register - Previous Entry"/>
              <xsd:enumeration value="Register - Risk"/>
              <xsd:enumeration value="Risk Assessments"/>
              <xsd:enumeration value="Round Up"/>
              <xsd:enumeration value="Schedule"/>
              <xsd:enumeration value="Top 5"/>
            </xsd:restriction>
          </xsd:simpleType>
        </xsd:union>
      </xsd:simpleType>
    </xsd:element>
    <xsd:element name="Security_x0020_classification" ma:index="8" nillable="true" ma:displayName="Security classification" ma:default="Official" ma:format="Dropdown" ma:internalName="Security_x0020_classification0">
      <xsd:simpleType>
        <xsd:union memberTypes="dms:Text">
          <xsd:simpleType>
            <xsd:restriction base="dms:Choice">
              <xsd:enumeration value="Official"/>
              <xsd:enumeration value="Official - sensitive"/>
            </xsd:restriction>
          </xsd:simpleType>
        </xsd:union>
      </xsd:simpleType>
    </xsd:element>
    <xsd:element name="Email_x0020_Date" ma:index="10" nillable="true" ma:displayName="Email Date" ma:format="DateOnly" ma:internalName="Email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8b6395-13cb-4870-bad8-69d468a59b46" elementFormDefault="qualified">
    <xsd:import namespace="http://schemas.microsoft.com/office/2006/documentManagement/types"/>
    <xsd:import namespace="http://schemas.microsoft.com/office/infopath/2007/PartnerControls"/>
    <xsd:element name="SourceCreatedBy" ma:index="11" nillable="true" ma:displayName="Source Created By" ma:internalName="SourceCreatedBy">
      <xsd:simpleType>
        <xsd:restriction base="dms:Text"/>
      </xsd:simpleType>
    </xsd:element>
    <xsd:element name="SourceModifiedBy" ma:index="12" nillable="true" ma:displayName="Source Modified By" ma:internalName="SourceModifiedBy">
      <xsd:simpleType>
        <xsd:restriction base="dms:Text"/>
      </xsd:simpleType>
    </xsd:element>
    <xsd:element name="SourceContentType" ma:index="13" nillable="true" ma:displayName="Source Content Type" ma:internalName="SourceContentType">
      <xsd:simpleType>
        <xsd:restriction base="dms:Text"/>
      </xsd:simpleType>
    </xsd:element>
    <xsd:element name="SourceDocID" ma:index="14" nillable="true" ma:displayName="Source Doc ID" ma:internalName="SourceDocID">
      <xsd:simpleType>
        <xsd:restriction base="dms:Text"/>
      </xsd:simpleType>
    </xsd:element>
    <xsd:element name="SourcePath" ma:index="15" nillable="true" ma:displayName="Source Path" ma:internalName="SourcePath">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12200-3558-479a-b913-a7da32b83f9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4bbdca-95a3-47e1-b88a-cab7d45dc621}" ma:internalName="TaxCatchAll" ma:showField="CatchAllData" ma:web="3d4d1b16-694e-40b6-b7c1-73e383d2eb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AC581-0B55-40BF-96FE-5E53C8B2BB27}">
  <ds:schemaRefs>
    <ds:schemaRef ds:uri="http://schemas.openxmlformats.org/officeDocument/2006/bibliography"/>
  </ds:schemaRefs>
</ds:datastoreItem>
</file>

<file path=customXml/itemProps2.xml><?xml version="1.0" encoding="utf-8"?>
<ds:datastoreItem xmlns:ds="http://schemas.openxmlformats.org/officeDocument/2006/customXml" ds:itemID="{863880D6-CF6F-45E3-A21E-6CA438E308A2}">
  <ds:schemaRefs>
    <ds:schemaRef ds:uri="http://schemas.microsoft.com/office/2006/metadata/properties"/>
    <ds:schemaRef ds:uri="http://schemas.microsoft.com/office/infopath/2007/PartnerControls"/>
    <ds:schemaRef ds:uri="6495cd43-30b7-45da-972d-05dc6321e6bd"/>
    <ds:schemaRef ds:uri="9b8b6395-13cb-4870-bad8-69d468a59b46"/>
    <ds:schemaRef ds:uri="e3712200-3558-479a-b913-a7da32b83f9e"/>
    <ds:schemaRef ds:uri="c6c27c95-3233-4d57-95d6-ccfedf02ef5e"/>
    <ds:schemaRef ds:uri="3d4d1b16-694e-40b6-b7c1-73e383d2ebc9"/>
  </ds:schemaRefs>
</ds:datastoreItem>
</file>

<file path=customXml/itemProps3.xml><?xml version="1.0" encoding="utf-8"?>
<ds:datastoreItem xmlns:ds="http://schemas.openxmlformats.org/officeDocument/2006/customXml" ds:itemID="{29E9F399-E939-4B10-A610-45E768ED1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d1b16-694e-40b6-b7c1-73e383d2ebc9"/>
    <ds:schemaRef ds:uri="c6c27c95-3233-4d57-95d6-ccfedf02ef5e"/>
    <ds:schemaRef ds:uri="6495cd43-30b7-45da-972d-05dc6321e6bd"/>
    <ds:schemaRef ds:uri="9b8b6395-13cb-4870-bad8-69d468a59b46"/>
    <ds:schemaRef ds:uri="e3712200-3558-479a-b913-a7da32b83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717CE-CEA6-43A5-9B44-7FB0E0636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1580</Words>
  <Characters>9007</Characters>
  <Application>Microsoft Office Word</Application>
  <DocSecurity>0</DocSecurity>
  <Lines>75</Lines>
  <Paragraphs>21</Paragraphs>
  <ScaleCrop>false</ScaleCrop>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20250616 Doc 07.2.2 Audit and Risk Committee annual report</dc:title>
  <dc:subject/>
  <dc:creator>Christopher Braithwaite</dc:creator>
  <cp:keywords/>
  <dc:description/>
  <cp:lastModifiedBy>Fiona Wilcock</cp:lastModifiedBy>
  <cp:revision>14</cp:revision>
  <dcterms:created xsi:type="dcterms:W3CDTF">2025-06-05T16:38:00Z</dcterms:created>
  <dcterms:modified xsi:type="dcterms:W3CDTF">2025-06-26T14:54:00Z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0x0101040097BA3080C9BC884E820FDDE744807BAD009BF03C680BF84447AE6125B193660464</vt:lpwstr>
  </property>
  <property fmtid="{D5CDD505-2E9C-101B-9397-08002B2CF9AE}" pid="3" name="TaxKeyword">
    <vt:lpwstr/>
  </property>
</Properties>
</file>