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26BA" w14:textId="77777777" w:rsidR="00E36F27" w:rsidRPr="006C1F49" w:rsidRDefault="00E36F27" w:rsidP="006C1F49">
      <w:pPr>
        <w:pStyle w:val="Heading3"/>
        <w:rPr>
          <w:sz w:val="28"/>
          <w:szCs w:val="28"/>
        </w:rPr>
      </w:pPr>
      <w:r w:rsidRPr="006C1F49">
        <w:rPr>
          <w:sz w:val="28"/>
          <w:szCs w:val="28"/>
        </w:rPr>
        <w:t>Freedom of Information Act 2000 (FOIA)</w:t>
      </w:r>
    </w:p>
    <w:p w14:paraId="2054EAB9" w14:textId="6D6517BD" w:rsidR="00E36F27" w:rsidRPr="004A7B37" w:rsidRDefault="00E36F27" w:rsidP="004A7B37">
      <w:pPr>
        <w:pStyle w:val="Heading3"/>
        <w:rPr>
          <w:sz w:val="28"/>
          <w:szCs w:val="28"/>
        </w:rPr>
      </w:pPr>
      <w:r w:rsidRPr="006C1F49">
        <w:rPr>
          <w:sz w:val="28"/>
          <w:szCs w:val="28"/>
        </w:rPr>
        <w:t>Decision notice</w:t>
      </w:r>
    </w:p>
    <w:p w14:paraId="74BD7965" w14:textId="77777777" w:rsidR="00C74035" w:rsidRPr="00A875BE" w:rsidRDefault="00E36F27" w:rsidP="00E659A9">
      <w:pPr>
        <w:pStyle w:val="Address"/>
      </w:pPr>
      <w:r>
        <w:tab/>
      </w:r>
      <w:r>
        <w:tab/>
      </w:r>
      <w:r>
        <w:tab/>
      </w:r>
    </w:p>
    <w:tbl>
      <w:tblPr>
        <w:tblW w:w="0" w:type="auto"/>
        <w:tblLook w:val="04A0" w:firstRow="1" w:lastRow="0" w:firstColumn="1" w:lastColumn="0" w:noHBand="0" w:noVBand="1"/>
      </w:tblPr>
      <w:tblGrid>
        <w:gridCol w:w="2892"/>
        <w:gridCol w:w="6520"/>
      </w:tblGrid>
      <w:tr w:rsidR="00C74035" w14:paraId="6239C9E2" w14:textId="77777777" w:rsidTr="008569AF">
        <w:tc>
          <w:tcPr>
            <w:tcW w:w="2943" w:type="dxa"/>
            <w:shd w:val="clear" w:color="auto" w:fill="auto"/>
          </w:tcPr>
          <w:p w14:paraId="23E70EC1" w14:textId="77777777" w:rsidR="00C74035" w:rsidRPr="008569AF" w:rsidRDefault="00C74035" w:rsidP="00E659A9">
            <w:pPr>
              <w:pStyle w:val="Address"/>
              <w:rPr>
                <w:lang w:val="en-US"/>
              </w:rPr>
            </w:pPr>
            <w:r w:rsidRPr="008569AF">
              <w:rPr>
                <w:lang w:val="en-US"/>
              </w:rPr>
              <w:t>Date:</w:t>
            </w:r>
          </w:p>
        </w:tc>
        <w:tc>
          <w:tcPr>
            <w:tcW w:w="6685" w:type="dxa"/>
            <w:shd w:val="clear" w:color="auto" w:fill="auto"/>
          </w:tcPr>
          <w:p w14:paraId="722DCDB7" w14:textId="16048B95" w:rsidR="00C74035" w:rsidRPr="008569AF" w:rsidRDefault="0074234C" w:rsidP="00E659A9">
            <w:pPr>
              <w:pStyle w:val="Address"/>
              <w:rPr>
                <w:lang w:val="en-US"/>
              </w:rPr>
            </w:pPr>
            <w:r>
              <w:rPr>
                <w:lang w:val="en-US"/>
              </w:rPr>
              <w:t>8</w:t>
            </w:r>
            <w:r w:rsidR="006E03FC">
              <w:rPr>
                <w:lang w:val="en-US"/>
              </w:rPr>
              <w:t xml:space="preserve"> August</w:t>
            </w:r>
            <w:r w:rsidR="001B326B">
              <w:rPr>
                <w:lang w:val="en-US"/>
              </w:rPr>
              <w:t xml:space="preserve"> 2023</w:t>
            </w:r>
          </w:p>
        </w:tc>
      </w:tr>
      <w:tr w:rsidR="00C74035" w14:paraId="386434CB" w14:textId="77777777" w:rsidTr="008569AF">
        <w:tc>
          <w:tcPr>
            <w:tcW w:w="2943" w:type="dxa"/>
            <w:shd w:val="clear" w:color="auto" w:fill="auto"/>
          </w:tcPr>
          <w:p w14:paraId="5E02CC39" w14:textId="77777777" w:rsidR="00C74035" w:rsidRPr="008569AF" w:rsidRDefault="00C74035" w:rsidP="00E659A9">
            <w:pPr>
              <w:pStyle w:val="Address"/>
              <w:rPr>
                <w:lang w:val="en-US"/>
              </w:rPr>
            </w:pPr>
          </w:p>
        </w:tc>
        <w:tc>
          <w:tcPr>
            <w:tcW w:w="6685" w:type="dxa"/>
            <w:shd w:val="clear" w:color="auto" w:fill="auto"/>
          </w:tcPr>
          <w:p w14:paraId="2C61A0D7" w14:textId="77777777" w:rsidR="00C74035" w:rsidRPr="008569AF" w:rsidRDefault="00C74035" w:rsidP="00E659A9">
            <w:pPr>
              <w:pStyle w:val="Address"/>
              <w:rPr>
                <w:lang w:val="en-US"/>
              </w:rPr>
            </w:pPr>
          </w:p>
        </w:tc>
      </w:tr>
      <w:tr w:rsidR="00C74035" w14:paraId="36F12D1C" w14:textId="77777777" w:rsidTr="008569AF">
        <w:tc>
          <w:tcPr>
            <w:tcW w:w="2943" w:type="dxa"/>
            <w:shd w:val="clear" w:color="auto" w:fill="auto"/>
          </w:tcPr>
          <w:p w14:paraId="774A1DAB" w14:textId="77777777" w:rsidR="00C74035" w:rsidRPr="008569AF" w:rsidRDefault="00C74035" w:rsidP="00E659A9">
            <w:pPr>
              <w:pStyle w:val="Address"/>
              <w:rPr>
                <w:lang w:val="en-US"/>
              </w:rPr>
            </w:pPr>
            <w:r w:rsidRPr="008569AF">
              <w:rPr>
                <w:lang w:val="en-US"/>
              </w:rPr>
              <w:t>Public Authority:</w:t>
            </w:r>
          </w:p>
        </w:tc>
        <w:tc>
          <w:tcPr>
            <w:tcW w:w="6685" w:type="dxa"/>
            <w:shd w:val="clear" w:color="auto" w:fill="auto"/>
          </w:tcPr>
          <w:p w14:paraId="716125B9" w14:textId="7AAA7AB0" w:rsidR="00C74035" w:rsidRPr="008569AF" w:rsidRDefault="001B326B" w:rsidP="00E659A9">
            <w:pPr>
              <w:pStyle w:val="Address"/>
              <w:rPr>
                <w:lang w:val="en-US"/>
              </w:rPr>
            </w:pPr>
            <w:r>
              <w:rPr>
                <w:lang w:val="en-US"/>
              </w:rPr>
              <w:t>Foreign, Commonwealth and Development Office</w:t>
            </w:r>
          </w:p>
        </w:tc>
      </w:tr>
      <w:tr w:rsidR="00C74035" w14:paraId="1791C8D8" w14:textId="77777777" w:rsidTr="008569AF">
        <w:tc>
          <w:tcPr>
            <w:tcW w:w="2943" w:type="dxa"/>
            <w:shd w:val="clear" w:color="auto" w:fill="auto"/>
          </w:tcPr>
          <w:p w14:paraId="5D5C4B3C" w14:textId="77777777" w:rsidR="00C74035" w:rsidRPr="008569AF" w:rsidRDefault="00C74035" w:rsidP="00E659A9">
            <w:pPr>
              <w:pStyle w:val="Address"/>
              <w:rPr>
                <w:lang w:val="en-US"/>
              </w:rPr>
            </w:pPr>
            <w:r w:rsidRPr="008569AF">
              <w:rPr>
                <w:lang w:val="en-US"/>
              </w:rPr>
              <w:t>Address:</w:t>
            </w:r>
          </w:p>
        </w:tc>
        <w:tc>
          <w:tcPr>
            <w:tcW w:w="6685" w:type="dxa"/>
            <w:shd w:val="clear" w:color="auto" w:fill="auto"/>
          </w:tcPr>
          <w:p w14:paraId="38943A6B" w14:textId="77777777" w:rsidR="00C74035" w:rsidRPr="003713EB" w:rsidRDefault="005C31A2" w:rsidP="003713EB">
            <w:pPr>
              <w:pStyle w:val="NoSpacing"/>
              <w:rPr>
                <w:b/>
                <w:bCs/>
                <w:lang w:val="en-US"/>
              </w:rPr>
            </w:pPr>
            <w:r w:rsidRPr="003713EB">
              <w:rPr>
                <w:b/>
                <w:bCs/>
                <w:lang w:val="en-US"/>
              </w:rPr>
              <w:t>King Charles Street</w:t>
            </w:r>
          </w:p>
          <w:p w14:paraId="1036D63B" w14:textId="77777777" w:rsidR="003713EB" w:rsidRPr="003713EB" w:rsidRDefault="003713EB" w:rsidP="003713EB">
            <w:pPr>
              <w:pStyle w:val="NoSpacing"/>
              <w:rPr>
                <w:b/>
                <w:bCs/>
                <w:lang w:val="en-US"/>
              </w:rPr>
            </w:pPr>
            <w:r w:rsidRPr="003713EB">
              <w:rPr>
                <w:b/>
                <w:bCs/>
                <w:lang w:val="en-US"/>
              </w:rPr>
              <w:t>London</w:t>
            </w:r>
          </w:p>
          <w:p w14:paraId="38BF2240" w14:textId="57F021FB" w:rsidR="003713EB" w:rsidRPr="003713EB" w:rsidRDefault="003713EB" w:rsidP="003713EB">
            <w:pPr>
              <w:pStyle w:val="NoSpacing"/>
              <w:rPr>
                <w:b/>
                <w:bCs/>
                <w:lang w:val="en-US"/>
              </w:rPr>
            </w:pPr>
            <w:r w:rsidRPr="003713EB">
              <w:rPr>
                <w:b/>
                <w:bCs/>
                <w:lang w:val="en-US"/>
              </w:rPr>
              <w:t>SW1A 2AH</w:t>
            </w:r>
          </w:p>
        </w:tc>
      </w:tr>
      <w:tr w:rsidR="00C74035" w14:paraId="47B3C4F7" w14:textId="77777777" w:rsidTr="008569AF">
        <w:tc>
          <w:tcPr>
            <w:tcW w:w="2943" w:type="dxa"/>
            <w:shd w:val="clear" w:color="auto" w:fill="auto"/>
          </w:tcPr>
          <w:p w14:paraId="4ED2C6E8" w14:textId="77777777" w:rsidR="00C74035" w:rsidRPr="008569AF" w:rsidRDefault="00C74035" w:rsidP="00E659A9">
            <w:pPr>
              <w:pStyle w:val="Address"/>
              <w:rPr>
                <w:lang w:val="en-US"/>
              </w:rPr>
            </w:pPr>
          </w:p>
        </w:tc>
        <w:tc>
          <w:tcPr>
            <w:tcW w:w="6685" w:type="dxa"/>
            <w:shd w:val="clear" w:color="auto" w:fill="auto"/>
          </w:tcPr>
          <w:p w14:paraId="07259437" w14:textId="77777777" w:rsidR="00C74035" w:rsidRPr="008569AF" w:rsidRDefault="00C74035" w:rsidP="00E659A9">
            <w:pPr>
              <w:pStyle w:val="Address"/>
              <w:rPr>
                <w:lang w:val="en-US"/>
              </w:rPr>
            </w:pPr>
          </w:p>
        </w:tc>
      </w:tr>
      <w:tr w:rsidR="00C74035" w14:paraId="589708DB" w14:textId="77777777" w:rsidTr="008569AF">
        <w:tc>
          <w:tcPr>
            <w:tcW w:w="2943" w:type="dxa"/>
            <w:shd w:val="clear" w:color="auto" w:fill="auto"/>
          </w:tcPr>
          <w:p w14:paraId="56982067" w14:textId="6ABBE2C4" w:rsidR="00C74035" w:rsidRPr="008569AF" w:rsidRDefault="00C74035" w:rsidP="00E659A9">
            <w:pPr>
              <w:pStyle w:val="Address"/>
              <w:rPr>
                <w:lang w:val="en-US"/>
              </w:rPr>
            </w:pPr>
          </w:p>
        </w:tc>
        <w:tc>
          <w:tcPr>
            <w:tcW w:w="6685" w:type="dxa"/>
            <w:shd w:val="clear" w:color="auto" w:fill="auto"/>
          </w:tcPr>
          <w:p w14:paraId="2520061B" w14:textId="7982B869" w:rsidR="00C74035" w:rsidRPr="008569AF" w:rsidRDefault="00C74035" w:rsidP="00E659A9">
            <w:pPr>
              <w:pStyle w:val="Address"/>
              <w:rPr>
                <w:lang w:val="en-US"/>
              </w:rPr>
            </w:pPr>
          </w:p>
        </w:tc>
      </w:tr>
      <w:tr w:rsidR="00C74035" w14:paraId="375F30A5" w14:textId="77777777" w:rsidTr="008569AF">
        <w:tc>
          <w:tcPr>
            <w:tcW w:w="2943" w:type="dxa"/>
            <w:shd w:val="clear" w:color="auto" w:fill="auto"/>
          </w:tcPr>
          <w:p w14:paraId="353BAB9A" w14:textId="44F763C0" w:rsidR="00C74035" w:rsidRPr="008569AF" w:rsidRDefault="00C74035" w:rsidP="00E659A9">
            <w:pPr>
              <w:pStyle w:val="Address"/>
              <w:rPr>
                <w:lang w:val="en-US"/>
              </w:rPr>
            </w:pPr>
          </w:p>
        </w:tc>
        <w:tc>
          <w:tcPr>
            <w:tcW w:w="6685" w:type="dxa"/>
            <w:shd w:val="clear" w:color="auto" w:fill="auto"/>
          </w:tcPr>
          <w:p w14:paraId="4D32F7F4" w14:textId="26E999BE" w:rsidR="00C74035" w:rsidRPr="008569AF" w:rsidRDefault="00C74035" w:rsidP="00E659A9">
            <w:pPr>
              <w:pStyle w:val="Address"/>
              <w:rPr>
                <w:lang w:val="en-US"/>
              </w:rPr>
            </w:pPr>
          </w:p>
        </w:tc>
      </w:tr>
    </w:tbl>
    <w:p w14:paraId="1AF56B29" w14:textId="77777777" w:rsidR="00E36F27" w:rsidRPr="00E659A9" w:rsidRDefault="00E36F27" w:rsidP="00C74035">
      <w:pPr>
        <w:pStyle w:val="Address"/>
      </w:pPr>
    </w:p>
    <w:p w14:paraId="541CBD37" w14:textId="77777777" w:rsidR="00E36F27" w:rsidRPr="00342C56" w:rsidRDefault="00E36F27" w:rsidP="006F79A2">
      <w:pPr>
        <w:pStyle w:val="Sectionheadingwithbookmark"/>
      </w:pPr>
      <w:r w:rsidRPr="002D7984">
        <w:t>Decision</w:t>
      </w:r>
      <w:r>
        <w:t xml:space="preserve"> (including any steps ordered)</w:t>
      </w:r>
    </w:p>
    <w:p w14:paraId="286AB09F" w14:textId="763DAEDF" w:rsidR="005E0088" w:rsidRDefault="00E36F27" w:rsidP="002E5C04">
      <w:pPr>
        <w:pStyle w:val="Numbers"/>
      </w:pPr>
      <w:r>
        <w:t>The complainant has requested</w:t>
      </w:r>
      <w:r w:rsidR="002C4864">
        <w:t xml:space="preserve"> information </w:t>
      </w:r>
      <w:r w:rsidR="002C2858">
        <w:t>regarding material or evidence that was considered t</w:t>
      </w:r>
      <w:r w:rsidR="00F57ACC">
        <w:t>o</w:t>
      </w:r>
      <w:r w:rsidR="001C5603">
        <w:t xml:space="preserve"> </w:t>
      </w:r>
      <w:bookmarkStart w:id="0" w:name="_Hlk140070990"/>
      <w:r w:rsidR="001C5603">
        <w:t>delist</w:t>
      </w:r>
      <w:r w:rsidR="005E0088">
        <w:t xml:space="preserve"> </w:t>
      </w:r>
      <w:r w:rsidR="006B7B0E">
        <w:t>Nizar al-Assaad</w:t>
      </w:r>
      <w:r w:rsidR="005E0088">
        <w:t xml:space="preserve"> from </w:t>
      </w:r>
      <w:r w:rsidR="006B7B0E">
        <w:t xml:space="preserve">the </w:t>
      </w:r>
      <w:r w:rsidR="005E0088">
        <w:t>UK sanctions list</w:t>
      </w:r>
      <w:bookmarkEnd w:id="0"/>
      <w:r w:rsidR="005E0088">
        <w:t>. The Foreign, Commonwealth and Development Office (FCDO)</w:t>
      </w:r>
      <w:r w:rsidR="00C82E86">
        <w:t xml:space="preserve"> would neither confirm </w:t>
      </w:r>
      <w:r w:rsidR="00E23EE8">
        <w:t xml:space="preserve">nor deny (NCND) holding the requested information citing sections </w:t>
      </w:r>
      <w:r w:rsidR="00F43D4F">
        <w:t>23</w:t>
      </w:r>
      <w:r w:rsidR="00161FE7">
        <w:t>(</w:t>
      </w:r>
      <w:r w:rsidR="002B0809">
        <w:t>5) (</w:t>
      </w:r>
      <w:r w:rsidR="00662BDD">
        <w:t xml:space="preserve">Security </w:t>
      </w:r>
      <w:r w:rsidR="001A7A89">
        <w:t>b</w:t>
      </w:r>
      <w:r w:rsidR="00662BDD">
        <w:t>odies)</w:t>
      </w:r>
      <w:r w:rsidR="001A7A89">
        <w:t xml:space="preserve"> 24(2) (Safeguarding national security)</w:t>
      </w:r>
      <w:r w:rsidR="00D40AE0">
        <w:t>, 27(</w:t>
      </w:r>
      <w:r w:rsidR="00CD6AB4">
        <w:t>4) (</w:t>
      </w:r>
      <w:r w:rsidR="00D40AE0">
        <w:t xml:space="preserve">International relations), </w:t>
      </w:r>
      <w:r w:rsidR="00A729FF">
        <w:t>35(</w:t>
      </w:r>
      <w:r w:rsidR="00277938">
        <w:t>3) (</w:t>
      </w:r>
      <w:r w:rsidR="009B5F57">
        <w:t>Government policy</w:t>
      </w:r>
      <w:r w:rsidR="008076CE">
        <w:t>)</w:t>
      </w:r>
      <w:r w:rsidR="00660122">
        <w:t xml:space="preserve"> and </w:t>
      </w:r>
      <w:r w:rsidR="00836960">
        <w:t>40(</w:t>
      </w:r>
      <w:r w:rsidR="00155774">
        <w:t>5) (</w:t>
      </w:r>
      <w:r w:rsidR="00836960">
        <w:t>personal information)</w:t>
      </w:r>
      <w:r w:rsidR="00BB0FB9">
        <w:t xml:space="preserve"> of FOIA.</w:t>
      </w:r>
    </w:p>
    <w:p w14:paraId="5816ECEF" w14:textId="4987FACC" w:rsidR="00E36F27" w:rsidRPr="00213302" w:rsidRDefault="00E36F27" w:rsidP="002E5C04">
      <w:pPr>
        <w:pStyle w:val="Numbers"/>
      </w:pPr>
      <w:r w:rsidRPr="00213302">
        <w:t>The Commissioner’s decision is that</w:t>
      </w:r>
      <w:r w:rsidR="00571464">
        <w:t xml:space="preserve"> the FCDO</w:t>
      </w:r>
      <w:r w:rsidR="00CF528C">
        <w:t xml:space="preserve"> is entitled to </w:t>
      </w:r>
      <w:r w:rsidR="00E62DD5">
        <w:t>rely on</w:t>
      </w:r>
      <w:r w:rsidR="00CD6AB4">
        <w:t xml:space="preserve"> section 27(</w:t>
      </w:r>
      <w:r w:rsidR="00434D40">
        <w:t>4)</w:t>
      </w:r>
      <w:r w:rsidR="00E62DD5">
        <w:t xml:space="preserve"> </w:t>
      </w:r>
      <w:r w:rsidR="00434D40">
        <w:t>of FOIA to</w:t>
      </w:r>
      <w:r w:rsidR="00CF528C">
        <w:t xml:space="preserve"> refus</w:t>
      </w:r>
      <w:r w:rsidR="00434D40">
        <w:t>e</w:t>
      </w:r>
      <w:r w:rsidR="00CF528C">
        <w:t xml:space="preserve"> to confirm</w:t>
      </w:r>
      <w:r w:rsidR="007A411A">
        <w:t xml:space="preserve"> or deny whether</w:t>
      </w:r>
      <w:r w:rsidR="00BD1192">
        <w:t xml:space="preserve"> it holds the requested information.</w:t>
      </w:r>
      <w:r w:rsidR="00AC5FD5">
        <w:t xml:space="preserve"> </w:t>
      </w:r>
      <w:r w:rsidR="002B0809">
        <w:t>However,</w:t>
      </w:r>
      <w:r w:rsidR="00AC5FD5">
        <w:t xml:space="preserve"> the Commissioner finds that the FCDO</w:t>
      </w:r>
      <w:r w:rsidR="00A31B78">
        <w:t xml:space="preserve"> breached section 10</w:t>
      </w:r>
      <w:r w:rsidR="00A20EBB">
        <w:t xml:space="preserve"> </w:t>
      </w:r>
      <w:r w:rsidR="00A31B78">
        <w:t>(time limits for compliance</w:t>
      </w:r>
      <w:r w:rsidR="00A20EBB">
        <w:t>)</w:t>
      </w:r>
      <w:r w:rsidR="00F31324">
        <w:t xml:space="preserve"> of FOIA by not responding to the request within 20 working days.</w:t>
      </w:r>
    </w:p>
    <w:p w14:paraId="028C785A" w14:textId="6782134C" w:rsidR="00E36F27" w:rsidRDefault="00E36F27" w:rsidP="008E34C3">
      <w:pPr>
        <w:pStyle w:val="Numbers"/>
      </w:pPr>
      <w:r>
        <w:t>T</w:t>
      </w:r>
      <w:r w:rsidRPr="00213302">
        <w:t xml:space="preserve">he Commissioner </w:t>
      </w:r>
      <w:r w:rsidR="00A56E0A">
        <w:t xml:space="preserve">does not </w:t>
      </w:r>
      <w:r w:rsidRPr="00213302">
        <w:t>require</w:t>
      </w:r>
      <w:r w:rsidR="00A56E0A">
        <w:t xml:space="preserve"> FCDO to take any steps as a result of this decision.</w:t>
      </w:r>
    </w:p>
    <w:p w14:paraId="339813C7" w14:textId="77777777" w:rsidR="00E36F27" w:rsidRPr="00AC71A5" w:rsidRDefault="00E36F27" w:rsidP="00AC71A5">
      <w:pPr>
        <w:pStyle w:val="Sectionheadingwithbookmark"/>
      </w:pPr>
      <w:r w:rsidRPr="00AC71A5">
        <w:t>Request and response</w:t>
      </w:r>
    </w:p>
    <w:p w14:paraId="42FE82BE" w14:textId="4C663A12" w:rsidR="00744831" w:rsidRDefault="00E36F27" w:rsidP="007672A0">
      <w:pPr>
        <w:pStyle w:val="Numbers"/>
      </w:pPr>
      <w:r w:rsidRPr="00213302">
        <w:t xml:space="preserve">On </w:t>
      </w:r>
      <w:r w:rsidR="00B73589">
        <w:t>21</w:t>
      </w:r>
      <w:r w:rsidR="00B41E43">
        <w:t xml:space="preserve"> March</w:t>
      </w:r>
      <w:r w:rsidR="00083A03">
        <w:t xml:space="preserve"> 2022</w:t>
      </w:r>
      <w:r w:rsidRPr="00213302">
        <w:t>, the complainant wrote to</w:t>
      </w:r>
      <w:r w:rsidR="00A279AE">
        <w:t xml:space="preserve"> the FCDO a</w:t>
      </w:r>
      <w:r w:rsidRPr="00213302">
        <w:t>nd requested information in the following terms:</w:t>
      </w:r>
    </w:p>
    <w:p w14:paraId="302170FD" w14:textId="691E7A8F" w:rsidR="007240B0" w:rsidRDefault="00797F99" w:rsidP="00D83F99">
      <w:pPr>
        <w:pStyle w:val="Numbers"/>
        <w:numPr>
          <w:ilvl w:val="0"/>
          <w:numId w:val="0"/>
        </w:numPr>
        <w:ind w:left="1080"/>
      </w:pPr>
      <w:r w:rsidRPr="00797F99">
        <w:t>“</w:t>
      </w:r>
      <w:r w:rsidR="00D83F99">
        <w:t>…</w:t>
      </w:r>
      <w:r w:rsidR="004434B6">
        <w:t xml:space="preserve"> </w:t>
      </w:r>
      <w:r w:rsidRPr="007D0364">
        <w:t xml:space="preserve">I am filing a Freedom of Information (FOI) request with the FCDO regarding the material and or/evidence considered to lift sanctions off of Nizar al-Assaad, who was delisted from the UK </w:t>
      </w:r>
      <w:r w:rsidRPr="007D0364">
        <w:lastRenderedPageBreak/>
        <w:t xml:space="preserve">sanctions list on Oct. 30, 2021. Specifically, I am looking into whether the name of </w:t>
      </w:r>
      <w:bookmarkStart w:id="1" w:name="_Hlk141700047"/>
      <w:r w:rsidRPr="007D0364">
        <w:t>Syrian British businessman Ayman al-</w:t>
      </w:r>
      <w:proofErr w:type="spellStart"/>
      <w:r w:rsidRPr="007D0364">
        <w:t>Asfari</w:t>
      </w:r>
      <w:proofErr w:type="spellEnd"/>
      <w:r w:rsidRPr="007D0364">
        <w:t xml:space="preserve">, his PETROFAC company or any other of his firms </w:t>
      </w:r>
      <w:bookmarkEnd w:id="1"/>
      <w:r w:rsidRPr="007D0364">
        <w:t>were mentioned in any email, related internal memos of the FCDO, meeting</w:t>
      </w:r>
      <w:r w:rsidRPr="00797F99">
        <w:t xml:space="preserve"> minutes, financial documents, statements and written communication from Nizar al</w:t>
      </w:r>
      <w:r w:rsidR="00725E3C">
        <w:t>-</w:t>
      </w:r>
      <w:r w:rsidRPr="00797F99">
        <w:t xml:space="preserve">Assaad and his lawyers. </w:t>
      </w:r>
    </w:p>
    <w:p w14:paraId="79B2E000" w14:textId="2FF56674" w:rsidR="007672A0" w:rsidRPr="00213302" w:rsidRDefault="00797F99" w:rsidP="006B7B0E">
      <w:pPr>
        <w:pStyle w:val="Numbers"/>
        <w:numPr>
          <w:ilvl w:val="0"/>
          <w:numId w:val="0"/>
        </w:numPr>
        <w:ind w:left="1080"/>
      </w:pPr>
      <w:r w:rsidRPr="00797F99">
        <w:t>Given the costs outlined in response to our first FOI, I would like to narrow down this request to the three months prior to the delisting, that is between July 30 and Oct 30</w:t>
      </w:r>
      <w:r w:rsidR="00155774" w:rsidRPr="00797F99">
        <w:t>, 2021</w:t>
      </w:r>
      <w:r w:rsidRPr="00797F99">
        <w:t>.”</w:t>
      </w:r>
    </w:p>
    <w:p w14:paraId="38EA81A0" w14:textId="60BD7DE1" w:rsidR="00E36F27" w:rsidRDefault="004F687B" w:rsidP="008E34C3">
      <w:pPr>
        <w:pStyle w:val="Numbers"/>
      </w:pPr>
      <w:r w:rsidRPr="004F687B">
        <w:t>The FCDO acknowledged receipt of the request on 27 September 2022, in which it stated that it holds information falling within the terms of the request but required an additional 20 working days to reach a decision on where the balance of public interest lies. It also stated that the specific exemption which applied in relation to the complainant’s request is section 27 of FOIA (international relations).</w:t>
      </w:r>
    </w:p>
    <w:p w14:paraId="240284E6" w14:textId="422FD2A0" w:rsidR="00B25F6C" w:rsidRPr="00213302" w:rsidRDefault="00B25F6C" w:rsidP="008E34C3">
      <w:pPr>
        <w:pStyle w:val="Numbers"/>
      </w:pPr>
      <w:r w:rsidRPr="00B25F6C">
        <w:t>On 20 October 2022, FCDO responded to the complainant’s request and refused to confirm or deny whether the information is held in accordance with sections 23(5), 24(2), 27(4)</w:t>
      </w:r>
      <w:r w:rsidR="00AE609B">
        <w:t xml:space="preserve">, </w:t>
      </w:r>
      <w:r w:rsidRPr="00B25F6C">
        <w:t>35(3) and 40(5) of FOIA. It also refused to provide a statement of reasons by virtue of section 17(4) of FOIA.</w:t>
      </w:r>
    </w:p>
    <w:p w14:paraId="177B9F5C" w14:textId="42FCFF06" w:rsidR="00E36F27" w:rsidRPr="00213302" w:rsidRDefault="00A121E8" w:rsidP="005801A5">
      <w:pPr>
        <w:pStyle w:val="Numbers"/>
      </w:pPr>
      <w:r w:rsidRPr="00A121E8">
        <w:t>The complainant submitted a request for internal review on 15 December 2022.</w:t>
      </w:r>
      <w:r w:rsidR="00476249">
        <w:t xml:space="preserve"> On </w:t>
      </w:r>
      <w:r w:rsidR="009674E8">
        <w:t>9 June 2023,</w:t>
      </w:r>
      <w:r w:rsidR="00D00388">
        <w:t xml:space="preserve"> the FCDO provided its response</w:t>
      </w:r>
      <w:r w:rsidR="00310684">
        <w:t>, maintaining its position to NCND hol</w:t>
      </w:r>
      <w:r w:rsidR="003C2FC0">
        <w:t>d</w:t>
      </w:r>
      <w:r w:rsidR="00310684">
        <w:t>ing the requested information</w:t>
      </w:r>
      <w:r w:rsidR="00A56D70">
        <w:t>.</w:t>
      </w:r>
    </w:p>
    <w:p w14:paraId="7C9D43CA" w14:textId="77777777" w:rsidR="00E36F27" w:rsidRDefault="00E36F27" w:rsidP="00AC71A5">
      <w:pPr>
        <w:pStyle w:val="Sectionheadingwithbookmark"/>
      </w:pPr>
      <w:r w:rsidRPr="00E659A9">
        <w:t>Scope of the case</w:t>
      </w:r>
    </w:p>
    <w:p w14:paraId="1B25A3D7" w14:textId="74F26642" w:rsidR="005801A5" w:rsidRDefault="005801A5" w:rsidP="00CD54D8">
      <w:pPr>
        <w:pStyle w:val="Numbers"/>
      </w:pPr>
      <w:r w:rsidRPr="005801A5">
        <w:t>On 24 March 2023, the complainant contacted the Commissioner raising concerns about the delay in receiving a response to their internal review request.</w:t>
      </w:r>
    </w:p>
    <w:p w14:paraId="383EA581" w14:textId="04AFD931" w:rsidR="00E36F27" w:rsidRDefault="0075726B" w:rsidP="00CD54D8">
      <w:pPr>
        <w:pStyle w:val="Numbers"/>
      </w:pPr>
      <w:r w:rsidRPr="0075726B">
        <w:t xml:space="preserve">The Commissioner wrote to FCDO on 28 March 2023 and </w:t>
      </w:r>
      <w:r w:rsidR="00022F2D">
        <w:t>said it</w:t>
      </w:r>
      <w:r w:rsidR="009E0295">
        <w:t xml:space="preserve"> should</w:t>
      </w:r>
      <w:r w:rsidRPr="0075726B">
        <w:t xml:space="preserve"> issue an internal review decision to the complainant within 10 working days. On 11 April 2023, the public authority wrote to the complainant to apologise for the delay and forwarded a copy of the</w:t>
      </w:r>
      <w:r w:rsidR="00396534" w:rsidRPr="00396534">
        <w:rPr>
          <w:rFonts w:cs="Times New Roman"/>
        </w:rPr>
        <w:t xml:space="preserve"> </w:t>
      </w:r>
      <w:r w:rsidR="00396534" w:rsidRPr="00396534">
        <w:t>correspondence to the Commissioner on 13 April 2023. It also requested an extension of time, as it was unable to meet the 10-working day timeframe originally provided.</w:t>
      </w:r>
    </w:p>
    <w:p w14:paraId="16A93614" w14:textId="175ABAF5" w:rsidR="00712D55" w:rsidRDefault="00935133" w:rsidP="00CD54D8">
      <w:pPr>
        <w:pStyle w:val="Numbers"/>
      </w:pPr>
      <w:r w:rsidRPr="00935133">
        <w:t xml:space="preserve">The Commissioner granted an extension until 27 April 2023 and informed FCDO that he had accepted the complaint for investigation without internal review, however advised that an investigating case officer will wait until the internal review decision had been issued before </w:t>
      </w:r>
      <w:r w:rsidR="00733BD2">
        <w:t>progressing</w:t>
      </w:r>
      <w:r w:rsidRPr="00935133">
        <w:t xml:space="preserve"> the matter.</w:t>
      </w:r>
    </w:p>
    <w:p w14:paraId="3B3BAD30" w14:textId="606C96D3" w:rsidR="00F77F60" w:rsidRDefault="00F77F60" w:rsidP="00CD54D8">
      <w:pPr>
        <w:pStyle w:val="Numbers"/>
      </w:pPr>
      <w:r w:rsidRPr="00F77F60">
        <w:lastRenderedPageBreak/>
        <w:t>On 27 April 2023,</w:t>
      </w:r>
      <w:r w:rsidR="0075009C">
        <w:t xml:space="preserve"> the</w:t>
      </w:r>
      <w:r w:rsidRPr="00F77F60">
        <w:t xml:space="preserve"> public authority wrote to the Commissioner requesting</w:t>
      </w:r>
      <w:r w:rsidR="0075009C">
        <w:t xml:space="preserve"> a</w:t>
      </w:r>
      <w:r w:rsidRPr="00F77F60">
        <w:t xml:space="preserve"> further extension of time until 22 May 2023. It explained that whilst it had a response drafted, it required clearances from 2 key stakeholder</w:t>
      </w:r>
      <w:r w:rsidR="000213D5">
        <w:t>s</w:t>
      </w:r>
      <w:r w:rsidRPr="00F77F60">
        <w:t xml:space="preserve"> without which it was unable to progress.</w:t>
      </w:r>
    </w:p>
    <w:p w14:paraId="6F54C1E6" w14:textId="700771AF" w:rsidR="00FD46DC" w:rsidRDefault="00A2569A" w:rsidP="00CD54D8">
      <w:pPr>
        <w:pStyle w:val="Numbers"/>
      </w:pPr>
      <w:r>
        <w:t xml:space="preserve">In view of these matters the Commissioner </w:t>
      </w:r>
      <w:r w:rsidR="00433397">
        <w:t xml:space="preserve">issued </w:t>
      </w:r>
      <w:r w:rsidR="00800472">
        <w:t>an Information Notice</w:t>
      </w:r>
      <w:r w:rsidR="00313A81">
        <w:t xml:space="preserve"> </w:t>
      </w:r>
      <w:r w:rsidR="00C25E44">
        <w:t>by virtue of</w:t>
      </w:r>
      <w:r w:rsidR="00313A81">
        <w:t xml:space="preserve"> section 51 of FOIA</w:t>
      </w:r>
      <w:r w:rsidR="00800472">
        <w:t xml:space="preserve"> against</w:t>
      </w:r>
      <w:r w:rsidR="000B579E">
        <w:t xml:space="preserve"> the FCDO</w:t>
      </w:r>
      <w:r w:rsidR="003544AD">
        <w:t xml:space="preserve"> </w:t>
      </w:r>
      <w:r w:rsidR="00EE2D8C">
        <w:t xml:space="preserve">on </w:t>
      </w:r>
      <w:r w:rsidR="003544AD">
        <w:t>3 May 2023</w:t>
      </w:r>
      <w:r w:rsidR="006E5B0F">
        <w:t>.</w:t>
      </w:r>
      <w:r w:rsidR="00102DE3">
        <w:t xml:space="preserve"> Under section 51</w:t>
      </w:r>
      <w:r w:rsidR="00373EA9">
        <w:t xml:space="preserve"> the Commissioner has the power to require a public authority to provide</w:t>
      </w:r>
      <w:r w:rsidR="00404F68">
        <w:t xml:space="preserve"> him with any information he requires to</w:t>
      </w:r>
      <w:r w:rsidR="006C66B9">
        <w:t xml:space="preserve"> enforce the requirements</w:t>
      </w:r>
      <w:r w:rsidR="006C04DD">
        <w:t xml:space="preserve"> </w:t>
      </w:r>
      <w:r w:rsidR="00036259">
        <w:t xml:space="preserve">of </w:t>
      </w:r>
      <w:r w:rsidR="006C04DD">
        <w:t>FOIA.</w:t>
      </w:r>
      <w:r w:rsidR="00DB2FC9">
        <w:t xml:space="preserve"> In this case the</w:t>
      </w:r>
      <w:r w:rsidR="00024621">
        <w:t xml:space="preserve"> Commissioner</w:t>
      </w:r>
      <w:r w:rsidR="00210931">
        <w:t xml:space="preserve"> required the FCDO</w:t>
      </w:r>
      <w:r w:rsidR="00CC192C">
        <w:t xml:space="preserve"> to provide its submissions on the various NCND</w:t>
      </w:r>
      <w:r w:rsidR="0018610C">
        <w:t xml:space="preserve"> </w:t>
      </w:r>
      <w:r w:rsidR="00D2007B">
        <w:t>exemptions</w:t>
      </w:r>
      <w:r w:rsidR="00E50749">
        <w:t xml:space="preserve"> </w:t>
      </w:r>
      <w:r w:rsidR="00AD06CC">
        <w:t>it had relied on.</w:t>
      </w:r>
    </w:p>
    <w:p w14:paraId="508A2636" w14:textId="39CC7EF0" w:rsidR="00912EDC" w:rsidRDefault="00912EDC" w:rsidP="00CD54D8">
      <w:pPr>
        <w:pStyle w:val="Numbers"/>
      </w:pPr>
      <w:r>
        <w:t xml:space="preserve">On </w:t>
      </w:r>
      <w:r w:rsidR="00A91C16">
        <w:t>29 June 2023, the</w:t>
      </w:r>
      <w:r w:rsidR="00E3082A">
        <w:t xml:space="preserve"> Commissioner</w:t>
      </w:r>
      <w:r w:rsidR="00C86858">
        <w:t xml:space="preserve"> received a closed submission from the FCDO which he has relied on but not reproduced in this decision notice.</w:t>
      </w:r>
    </w:p>
    <w:p w14:paraId="1EEDF52F" w14:textId="7C2C99C8" w:rsidR="00B67699" w:rsidRDefault="00B67699" w:rsidP="005C2CF3">
      <w:pPr>
        <w:pStyle w:val="Numbers"/>
      </w:pPr>
      <w:r>
        <w:t xml:space="preserve">The Commissioner considers the scope of his investigations to be to determine </w:t>
      </w:r>
      <w:r w:rsidR="00653797">
        <w:t xml:space="preserve">whether </w:t>
      </w:r>
      <w:r w:rsidR="00FB1CCF" w:rsidRPr="00FB1CCF">
        <w:t>or not the FCDO is entitled to NCND it holds any evidence or material relating to</w:t>
      </w:r>
      <w:r w:rsidR="0065244C">
        <w:t xml:space="preserve"> the request</w:t>
      </w:r>
      <w:r w:rsidR="00E65859">
        <w:t>.</w:t>
      </w:r>
    </w:p>
    <w:p w14:paraId="3D433561" w14:textId="77777777" w:rsidR="00E36F27" w:rsidRPr="002D7984" w:rsidRDefault="00E36F27" w:rsidP="00AC71A5">
      <w:pPr>
        <w:pStyle w:val="Sectionheadingwithbookmark"/>
      </w:pPr>
      <w:r w:rsidRPr="002D7984">
        <w:t>Reasons for decision</w:t>
      </w:r>
    </w:p>
    <w:p w14:paraId="56639670" w14:textId="017CCBFD" w:rsidR="00E36F27" w:rsidRPr="00E31166" w:rsidRDefault="000E23EE" w:rsidP="00F501A2">
      <w:pPr>
        <w:pStyle w:val="Numbers"/>
        <w:numPr>
          <w:ilvl w:val="0"/>
          <w:numId w:val="0"/>
        </w:numPr>
        <w:ind w:left="567"/>
        <w:rPr>
          <w:b/>
          <w:bCs/>
        </w:rPr>
      </w:pPr>
      <w:r w:rsidRPr="00E31166">
        <w:rPr>
          <w:b/>
          <w:bCs/>
        </w:rPr>
        <w:t>Neither confirm no</w:t>
      </w:r>
      <w:r w:rsidR="009A6765">
        <w:rPr>
          <w:b/>
          <w:bCs/>
        </w:rPr>
        <w:t>r</w:t>
      </w:r>
      <w:r w:rsidRPr="00E31166">
        <w:rPr>
          <w:b/>
          <w:bCs/>
        </w:rPr>
        <w:t xml:space="preserve"> deny (NCND)</w:t>
      </w:r>
      <w:r w:rsidR="00E36F27" w:rsidRPr="00E31166">
        <w:rPr>
          <w:b/>
          <w:bCs/>
        </w:rPr>
        <w:t xml:space="preserve"> </w:t>
      </w:r>
    </w:p>
    <w:p w14:paraId="083A33B3" w14:textId="2D874337" w:rsidR="00E31166" w:rsidRDefault="00DE34BB" w:rsidP="008E34C3">
      <w:pPr>
        <w:pStyle w:val="Numbers"/>
      </w:pPr>
      <w:r w:rsidRPr="00DE34BB">
        <w:t>Section 1(1)(a) of FOIA requires a public authority to inform a requester whether it holds the information specified in the request.</w:t>
      </w:r>
    </w:p>
    <w:p w14:paraId="6CCDB0BF" w14:textId="705C3E89" w:rsidR="00C76E85" w:rsidRDefault="00D22DF1" w:rsidP="008E34C3">
      <w:pPr>
        <w:pStyle w:val="Numbers"/>
      </w:pPr>
      <w:r w:rsidRPr="00D22DF1">
        <w:t>The decision to use an NCND response will not be affected by whether a public authority does, or does not, in fact hold the requested information. The starting point, and main focus for NCND in most cases, will be theoretical considerations about the consequences of confirming or denying whether or not a particular type of information is held.</w:t>
      </w:r>
    </w:p>
    <w:p w14:paraId="7E115833" w14:textId="1FAFFECA" w:rsidR="00B959D0" w:rsidRDefault="00B959D0" w:rsidP="008E34C3">
      <w:pPr>
        <w:pStyle w:val="Numbers"/>
      </w:pPr>
      <w:r w:rsidRPr="00B959D0">
        <w:t>A public authority will need to use the NCND response consistently, over a series of separate requests, regardless of whether or not it holds the requested information. This is to prevent refusing to confirm or deny being taken by requesters as an indication of whether or not information is in fact held.</w:t>
      </w:r>
    </w:p>
    <w:p w14:paraId="606757B0" w14:textId="791AAB3F" w:rsidR="00A26069" w:rsidRDefault="00A26069" w:rsidP="008E34C3">
      <w:pPr>
        <w:pStyle w:val="Numbers"/>
      </w:pPr>
      <w:r>
        <w:t xml:space="preserve">The FCDO has taken the position of </w:t>
      </w:r>
      <w:r w:rsidR="00400DAB">
        <w:t>neither confirming no</w:t>
      </w:r>
      <w:r w:rsidR="00BD0310">
        <w:t>r</w:t>
      </w:r>
      <w:r w:rsidR="00400DAB">
        <w:t xml:space="preserve"> denying whether it holds the requested information</w:t>
      </w:r>
      <w:r w:rsidR="002B08FF">
        <w:t>.</w:t>
      </w:r>
      <w:r w:rsidR="007A310D">
        <w:t xml:space="preserve"> The issue that the Commissioner</w:t>
      </w:r>
      <w:r w:rsidR="00C342DE">
        <w:t xml:space="preserve"> has to consider</w:t>
      </w:r>
      <w:r w:rsidR="00491980">
        <w:t xml:space="preserve"> is not one of disclosure</w:t>
      </w:r>
      <w:r w:rsidR="00466C21">
        <w:t xml:space="preserve"> of any requested information that may be held</w:t>
      </w:r>
      <w:r w:rsidR="00EE133C">
        <w:t xml:space="preserve">, it is </w:t>
      </w:r>
      <w:r w:rsidR="008A2E01">
        <w:t>solely</w:t>
      </w:r>
      <w:r w:rsidR="00CF3762">
        <w:t>,</w:t>
      </w:r>
      <w:r w:rsidR="008A2E01">
        <w:t xml:space="preserve"> whether or not</w:t>
      </w:r>
      <w:r w:rsidR="006B1E98">
        <w:t xml:space="preserve"> the</w:t>
      </w:r>
      <w:r w:rsidR="008A2E01">
        <w:t xml:space="preserve"> FCDO</w:t>
      </w:r>
      <w:r w:rsidR="007A310D">
        <w:t xml:space="preserve"> is entitled to NCND</w:t>
      </w:r>
      <w:r w:rsidR="00922FAF">
        <w:t xml:space="preserve"> it holds any information of the type requested by the complainant.</w:t>
      </w:r>
    </w:p>
    <w:p w14:paraId="718A0239" w14:textId="77EEB06F" w:rsidR="00982027" w:rsidRPr="00100E2D" w:rsidRDefault="00982027" w:rsidP="00BD1B7F">
      <w:pPr>
        <w:pStyle w:val="Numbers"/>
        <w:numPr>
          <w:ilvl w:val="0"/>
          <w:numId w:val="0"/>
        </w:numPr>
        <w:ind w:left="567"/>
        <w:rPr>
          <w:b/>
          <w:bCs/>
        </w:rPr>
      </w:pPr>
      <w:r w:rsidRPr="00100E2D">
        <w:rPr>
          <w:b/>
          <w:bCs/>
        </w:rPr>
        <w:lastRenderedPageBreak/>
        <w:t>Section 27(4)</w:t>
      </w:r>
      <w:r w:rsidR="00D32D69" w:rsidRPr="00100E2D">
        <w:rPr>
          <w:b/>
          <w:bCs/>
        </w:rPr>
        <w:t>- International relations</w:t>
      </w:r>
    </w:p>
    <w:p w14:paraId="5563B75C" w14:textId="3D9EFC72" w:rsidR="00D32D69" w:rsidRDefault="007941BE" w:rsidP="00F73B4C">
      <w:pPr>
        <w:pStyle w:val="Numbers"/>
      </w:pPr>
      <w:r w:rsidRPr="007941BE">
        <w:t xml:space="preserve">Section 27(4) of FOIA provides an exemption from complying with section 1(1)(a) of FOIA if to do so would or would be likely to prejudice the interests protected by section </w:t>
      </w:r>
      <w:r w:rsidR="009674E8" w:rsidRPr="007941BE">
        <w:t>27(1) or</w:t>
      </w:r>
      <w:r w:rsidRPr="007941BE">
        <w:t xml:space="preserve"> would involve the disclosure of confidential information protected by section 27(2).</w:t>
      </w:r>
    </w:p>
    <w:p w14:paraId="121EE5C9" w14:textId="19D566BB" w:rsidR="00816CD3" w:rsidRDefault="002A3A9A" w:rsidP="00F73B4C">
      <w:pPr>
        <w:pStyle w:val="Numbers"/>
      </w:pPr>
      <w:r>
        <w:t>Section 27(1)</w:t>
      </w:r>
      <w:r w:rsidR="006D4D8F">
        <w:t xml:space="preserve"> </w:t>
      </w:r>
      <w:r w:rsidR="00181051">
        <w:t>of FOIA provides that:</w:t>
      </w:r>
    </w:p>
    <w:p w14:paraId="5ABE4B1C" w14:textId="77777777" w:rsidR="004E5A5F" w:rsidRDefault="004E5A5F" w:rsidP="006308A0">
      <w:pPr>
        <w:pStyle w:val="Numbers"/>
        <w:numPr>
          <w:ilvl w:val="0"/>
          <w:numId w:val="0"/>
        </w:numPr>
        <w:ind w:left="567"/>
      </w:pPr>
      <w:r>
        <w:t xml:space="preserve">“(1) Information is exempt information if its disclosure under this Act would, or would be likely to, prejudice— </w:t>
      </w:r>
    </w:p>
    <w:p w14:paraId="28D74EE3" w14:textId="77777777" w:rsidR="004E5A5F" w:rsidRDefault="004E5A5F" w:rsidP="006D4D8F">
      <w:pPr>
        <w:pStyle w:val="Numbers"/>
        <w:numPr>
          <w:ilvl w:val="0"/>
          <w:numId w:val="0"/>
        </w:numPr>
        <w:ind w:left="1080"/>
      </w:pPr>
      <w:r>
        <w:t>(a) relations between the United Kingdom and any other State,</w:t>
      </w:r>
    </w:p>
    <w:p w14:paraId="602B6769" w14:textId="77777777" w:rsidR="004E5A5F" w:rsidRDefault="004E5A5F" w:rsidP="006308A0">
      <w:pPr>
        <w:pStyle w:val="Numbers"/>
        <w:numPr>
          <w:ilvl w:val="0"/>
          <w:numId w:val="0"/>
        </w:numPr>
        <w:ind w:left="1080"/>
      </w:pPr>
      <w:r>
        <w:t xml:space="preserve">(b) relations between the United Kingdom and any international organisation or international court, </w:t>
      </w:r>
    </w:p>
    <w:p w14:paraId="1D973E42" w14:textId="77777777" w:rsidR="004E5A5F" w:rsidRDefault="004E5A5F" w:rsidP="006308A0">
      <w:pPr>
        <w:pStyle w:val="Numbers"/>
        <w:numPr>
          <w:ilvl w:val="0"/>
          <w:numId w:val="0"/>
        </w:numPr>
        <w:ind w:left="1080"/>
      </w:pPr>
      <w:r>
        <w:t xml:space="preserve">(c) the interests of the United Kingdom abroad, or </w:t>
      </w:r>
    </w:p>
    <w:p w14:paraId="41E47821" w14:textId="7E058B6D" w:rsidR="00181051" w:rsidRDefault="004E5A5F" w:rsidP="00E27EA0">
      <w:pPr>
        <w:pStyle w:val="Numbers"/>
        <w:numPr>
          <w:ilvl w:val="0"/>
          <w:numId w:val="0"/>
        </w:numPr>
        <w:ind w:left="1080"/>
      </w:pPr>
      <w:r>
        <w:t>(d) the promotion or protection by the United Kingdom of its interests abroad.”</w:t>
      </w:r>
    </w:p>
    <w:p w14:paraId="6B362576" w14:textId="1DA745A3" w:rsidR="000D2369" w:rsidRDefault="005A0AE5" w:rsidP="00F73B4C">
      <w:pPr>
        <w:pStyle w:val="Numbers"/>
      </w:pPr>
      <w:r w:rsidRPr="005A0AE5">
        <w:t xml:space="preserve">The FCDO explained that </w:t>
      </w:r>
      <w:r w:rsidR="00F90C4D">
        <w:t xml:space="preserve">it cannot </w:t>
      </w:r>
      <w:r w:rsidRPr="005A0AE5">
        <w:t xml:space="preserve">confirm or </w:t>
      </w:r>
      <w:r w:rsidR="009674E8" w:rsidRPr="005A0AE5">
        <w:t>den</w:t>
      </w:r>
      <w:r w:rsidR="009674E8">
        <w:t>y</w:t>
      </w:r>
      <w:r w:rsidR="009674E8" w:rsidRPr="005A0AE5">
        <w:t xml:space="preserve"> </w:t>
      </w:r>
      <w:r w:rsidR="009674E8">
        <w:t>that</w:t>
      </w:r>
      <w:r w:rsidR="00EB6987">
        <w:t xml:space="preserve"> </w:t>
      </w:r>
      <w:r w:rsidRPr="005A0AE5">
        <w:t>the information requested</w:t>
      </w:r>
      <w:r w:rsidR="00EB6987">
        <w:t xml:space="preserve"> is held</w:t>
      </w:r>
      <w:r w:rsidRPr="005A0AE5">
        <w:t>,</w:t>
      </w:r>
      <w:r w:rsidR="00EB6987">
        <w:t xml:space="preserve"> as this</w:t>
      </w:r>
      <w:r w:rsidRPr="005A0AE5">
        <w:t xml:space="preserve"> would likely prejudice</w:t>
      </w:r>
      <w:r>
        <w:t xml:space="preserve"> </w:t>
      </w:r>
      <w:r w:rsidR="00C339B2">
        <w:t>the interests</w:t>
      </w:r>
      <w:r w:rsidR="00AD7EC1">
        <w:t xml:space="preserve"> protected by section 27(1)</w:t>
      </w:r>
      <w:r w:rsidR="00370B8C">
        <w:t>.</w:t>
      </w:r>
      <w:r w:rsidR="00041ADE">
        <w:t xml:space="preserve"> </w:t>
      </w:r>
    </w:p>
    <w:p w14:paraId="16D06D90" w14:textId="59502790" w:rsidR="005A0AE5" w:rsidRDefault="00FD752E" w:rsidP="00F73B4C">
      <w:pPr>
        <w:pStyle w:val="Numbers"/>
      </w:pPr>
      <w:r w:rsidRPr="00FD752E">
        <w:t xml:space="preserve">The FCDO argued that any information that </w:t>
      </w:r>
      <w:r w:rsidR="009674E8" w:rsidRPr="00FD752E">
        <w:t>may or</w:t>
      </w:r>
      <w:r w:rsidRPr="00FD752E">
        <w:t xml:space="preserve"> may not be held in relation to material or evidence considered to delist Nizar al-Assaad from</w:t>
      </w:r>
      <w:r w:rsidR="00F953EB">
        <w:t xml:space="preserve"> the</w:t>
      </w:r>
      <w:r w:rsidRPr="00FD752E">
        <w:t xml:space="preserve"> UK sanctions list would relate to</w:t>
      </w:r>
      <w:r w:rsidR="00EC523E">
        <w:t xml:space="preserve"> international relations.</w:t>
      </w:r>
      <w:r w:rsidRPr="00FD752E">
        <w:t xml:space="preserve"> </w:t>
      </w:r>
      <w:r w:rsidR="00041ADE">
        <w:t xml:space="preserve">It said that to provide the reasons for </w:t>
      </w:r>
      <w:r w:rsidR="00183D7F">
        <w:t>this</w:t>
      </w:r>
      <w:r w:rsidR="001A73F1">
        <w:t xml:space="preserve"> may</w:t>
      </w:r>
      <w:r w:rsidR="00183D7F">
        <w:t xml:space="preserve"> involve the disclosure of information which would itself be exempt information</w:t>
      </w:r>
      <w:r w:rsidR="00DB4C0E">
        <w:t xml:space="preserve"> by virtue of section 17(4) of FOIA.</w:t>
      </w:r>
    </w:p>
    <w:p w14:paraId="21AF1A39" w14:textId="3ABECEC1" w:rsidR="002E1849" w:rsidRDefault="00146EC2" w:rsidP="00F73B4C">
      <w:pPr>
        <w:pStyle w:val="Numbers"/>
      </w:pPr>
      <w:r w:rsidRPr="00146EC2">
        <w:t>In the internal review response, FCDO admitted that the extension letters confirming that it held information was issued to the complainant was in error. It maintained its position to neither confirm nor deny it holds information relevant to the complainant’s request.</w:t>
      </w:r>
    </w:p>
    <w:p w14:paraId="1118DBEE" w14:textId="466A1DE2" w:rsidR="008314DD" w:rsidRDefault="008314DD" w:rsidP="00F73B4C">
      <w:pPr>
        <w:pStyle w:val="Numbers"/>
      </w:pPr>
      <w:r>
        <w:t>The Commissioner would like to highlight here that public authorities should check such delay letters to ensure that they do not potentially undermine its final position.</w:t>
      </w:r>
    </w:p>
    <w:p w14:paraId="74FC09A4" w14:textId="710E2987" w:rsidR="005D3D43" w:rsidRDefault="005D3D43" w:rsidP="005D3D43">
      <w:pPr>
        <w:pStyle w:val="Numbers"/>
      </w:pPr>
      <w:r>
        <w:t xml:space="preserve">The complainant has challenged the FCDO’s position. As part of their public interest </w:t>
      </w:r>
      <w:r w:rsidR="00277938">
        <w:t>arguments,</w:t>
      </w:r>
      <w:r>
        <w:t xml:space="preserve"> they state the following:</w:t>
      </w:r>
    </w:p>
    <w:p w14:paraId="040ACC7F" w14:textId="01D53E09" w:rsidR="005D3D43" w:rsidRDefault="005D3D43" w:rsidP="005D3D43">
      <w:pPr>
        <w:pStyle w:val="Numbers"/>
        <w:numPr>
          <w:ilvl w:val="0"/>
          <w:numId w:val="0"/>
        </w:numPr>
        <w:ind w:left="1080"/>
      </w:pPr>
      <w:r>
        <w:t xml:space="preserve">“The disclosure would allow individuals within the UK, including its citizens, to understand decisions made by the UK government generally, and of the Office of the Financial Sanctions Implementation specifically, when it comes to its stated commitment to bringing the Syrian regime to participate in </w:t>
      </w:r>
      <w:r>
        <w:lastRenderedPageBreak/>
        <w:t>negotiations, with the goal of reaching a political settlement to the conflict in Syria.</w:t>
      </w:r>
    </w:p>
    <w:p w14:paraId="7D1DC99A" w14:textId="3EB54D0E" w:rsidR="00BD397A" w:rsidRDefault="005D3D43" w:rsidP="00D91ADB">
      <w:pPr>
        <w:pStyle w:val="Numbers"/>
        <w:numPr>
          <w:ilvl w:val="0"/>
          <w:numId w:val="0"/>
        </w:numPr>
        <w:ind w:left="1080"/>
      </w:pPr>
      <w:r>
        <w:t>The disclosure of the requested information would further help inform the public about the procedures the UK government takes when it comes to public protection, especially considering how the sanctions relating to Syria will continue to operate effectively even after the UK has chosen to leave the EU, since, originally, the sanctions themselves were derived from existing EU and related UK legislation.”</w:t>
      </w:r>
    </w:p>
    <w:p w14:paraId="28DB2286" w14:textId="2F674DCA" w:rsidR="00394751" w:rsidRPr="0070156F" w:rsidRDefault="0070156F" w:rsidP="0070156F">
      <w:pPr>
        <w:pStyle w:val="Numbers"/>
        <w:numPr>
          <w:ilvl w:val="0"/>
          <w:numId w:val="0"/>
        </w:numPr>
        <w:ind w:firstLine="567"/>
        <w:rPr>
          <w:b/>
          <w:bCs/>
        </w:rPr>
      </w:pPr>
      <w:r w:rsidRPr="0070156F">
        <w:rPr>
          <w:b/>
          <w:bCs/>
        </w:rPr>
        <w:t>Public interest test</w:t>
      </w:r>
    </w:p>
    <w:p w14:paraId="3088F719" w14:textId="20952659" w:rsidR="00D91ADB" w:rsidRDefault="000013FE" w:rsidP="009273E0">
      <w:pPr>
        <w:pStyle w:val="Numbers"/>
      </w:pPr>
      <w:r w:rsidRPr="000013FE">
        <w:t>Section 27 is also a qualified exemption</w:t>
      </w:r>
      <w:r w:rsidRPr="00F90E21">
        <w:t>.</w:t>
      </w:r>
      <w:r w:rsidR="00F90E21" w:rsidRPr="00F90E21">
        <w:t xml:space="preserve"> FCDO recognises a public interest in transparency in the </w:t>
      </w:r>
      <w:r w:rsidR="009674E8" w:rsidRPr="00F90E21">
        <w:t>decision-making</w:t>
      </w:r>
      <w:r w:rsidR="00F90E21" w:rsidRPr="00F90E21">
        <w:t xml:space="preserve"> process to ensure accountability within public authorities</w:t>
      </w:r>
      <w:r w:rsidR="009674E8" w:rsidRPr="00F90E21">
        <w:t>.</w:t>
      </w:r>
      <w:r w:rsidR="009674E8">
        <w:t xml:space="preserve"> However,</w:t>
      </w:r>
      <w:r w:rsidR="009273E0">
        <w:t xml:space="preserve"> it stated that</w:t>
      </w:r>
      <w:r w:rsidR="009922B9">
        <w:t xml:space="preserve"> in all the circumstances </w:t>
      </w:r>
      <w:r w:rsidR="009922B9" w:rsidRPr="009922B9">
        <w:t xml:space="preserve">of the case it has determined that the public interest in maintaining the exclusion of the duty to confirm or deny outweighs the public interest in confirming whether it holds the information. </w:t>
      </w:r>
      <w:r w:rsidR="002A7D16">
        <w:t>The FCDO added, this should not be taken as evidence</w:t>
      </w:r>
      <w:r w:rsidR="00033865">
        <w:t xml:space="preserve"> that any information that would meet the request exists or does not exist</w:t>
      </w:r>
      <w:r w:rsidR="00317FB5">
        <w:t>.</w:t>
      </w:r>
    </w:p>
    <w:p w14:paraId="2DF96C9B" w14:textId="08C8C8F6" w:rsidR="00E44265" w:rsidRDefault="00DB5E90" w:rsidP="00F73B4C">
      <w:pPr>
        <w:pStyle w:val="Numbers"/>
      </w:pPr>
      <w:r>
        <w:t xml:space="preserve">It says that the approach it has taken </w:t>
      </w:r>
      <w:r w:rsidR="00A0693B">
        <w:t>supported the consistent use of NCND</w:t>
      </w:r>
      <w:r w:rsidR="00173FCE">
        <w:t xml:space="preserve"> relating to specific requests about sanctions for </w:t>
      </w:r>
      <w:r w:rsidR="006A0674">
        <w:t>the named individuals or parties.</w:t>
      </w:r>
      <w:r w:rsidR="00B47F5E">
        <w:t xml:space="preserve"> </w:t>
      </w:r>
      <w:r w:rsidR="0045589D">
        <w:t xml:space="preserve">FCDO </w:t>
      </w:r>
      <w:r w:rsidR="00B47F5E">
        <w:t xml:space="preserve">says by taking a different </w:t>
      </w:r>
      <w:r w:rsidR="009674E8">
        <w:t>approach over</w:t>
      </w:r>
      <w:r w:rsidR="001F7553">
        <w:t xml:space="preserve"> a series of request</w:t>
      </w:r>
      <w:r w:rsidR="00EF4256">
        <w:t>s</w:t>
      </w:r>
      <w:r w:rsidR="001F7553">
        <w:t xml:space="preserve"> would create a pattern and reveal when information was or was not held</w:t>
      </w:r>
      <w:r w:rsidR="00361FE9">
        <w:t xml:space="preserve"> and NCND</w:t>
      </w:r>
      <w:r w:rsidR="001016DC">
        <w:t xml:space="preserve"> can only be effective if it is applied consistently</w:t>
      </w:r>
      <w:r w:rsidR="003363F8">
        <w:t xml:space="preserve">. FCDO concluded that the balance of the public interest favoured </w:t>
      </w:r>
      <w:r w:rsidR="009674E8">
        <w:t>maintaining section</w:t>
      </w:r>
      <w:r w:rsidR="00FE299A">
        <w:t xml:space="preserve"> 27(4)</w:t>
      </w:r>
      <w:r w:rsidR="009B7186">
        <w:t xml:space="preserve"> of FOIA</w:t>
      </w:r>
      <w:r w:rsidR="00137496">
        <w:t xml:space="preserve"> rather than confirming or denying</w:t>
      </w:r>
      <w:r w:rsidR="0004440B">
        <w:t xml:space="preserve"> whether information is held.</w:t>
      </w:r>
    </w:p>
    <w:p w14:paraId="4D0C4E5F" w14:textId="209B68A0" w:rsidR="0070156F" w:rsidRDefault="009922B9" w:rsidP="00F15870">
      <w:pPr>
        <w:pStyle w:val="Numbers"/>
      </w:pPr>
      <w:r w:rsidRPr="009922B9">
        <w:t>In its submission to the Commissioner,</w:t>
      </w:r>
      <w:r w:rsidR="00EE1B59">
        <w:t xml:space="preserve"> FCDO stated its reasons for relying on this exemption</w:t>
      </w:r>
      <w:r w:rsidR="009D42A3">
        <w:t xml:space="preserve"> and why the balance of the public interest favour</w:t>
      </w:r>
      <w:r w:rsidR="009B7186">
        <w:t>ed</w:t>
      </w:r>
      <w:r w:rsidR="009D42A3">
        <w:t xml:space="preserve"> maintaining the exemption</w:t>
      </w:r>
      <w:r w:rsidR="009B7186">
        <w:t>.</w:t>
      </w:r>
      <w:r w:rsidRPr="009922B9">
        <w:t xml:space="preserve"> </w:t>
      </w:r>
      <w:r w:rsidR="00B46852">
        <w:t>I</w:t>
      </w:r>
      <w:r w:rsidRPr="009922B9">
        <w:t>t provided further detail which the Commissioner has considered but will not reproduce in this decision notice</w:t>
      </w:r>
      <w:r>
        <w:t>.</w:t>
      </w:r>
    </w:p>
    <w:p w14:paraId="69E03CCF" w14:textId="55801C21" w:rsidR="008F0ED0" w:rsidRDefault="008F0ED0" w:rsidP="00F73B4C">
      <w:pPr>
        <w:pStyle w:val="Numbers"/>
      </w:pPr>
      <w:r>
        <w:t xml:space="preserve">The Commissioner accepts FCDO’s rationale for not confirming </w:t>
      </w:r>
      <w:r w:rsidR="0038642E">
        <w:t>or denying whether it holds the requested information and agrees that it is not in the public interest</w:t>
      </w:r>
      <w:r w:rsidR="00562F9D">
        <w:t xml:space="preserve"> to do so.</w:t>
      </w:r>
      <w:r w:rsidR="008568B1">
        <w:t xml:space="preserve"> The Commissioner rec</w:t>
      </w:r>
      <w:r w:rsidR="00801D72">
        <w:t>ognises that to confirm or deny whether the requested information</w:t>
      </w:r>
      <w:r w:rsidR="00EB4EE4">
        <w:t xml:space="preserve"> is</w:t>
      </w:r>
      <w:r w:rsidR="00801D72">
        <w:t xml:space="preserve"> he</w:t>
      </w:r>
      <w:r w:rsidR="00100863">
        <w:t xml:space="preserve">ld would </w:t>
      </w:r>
      <w:r w:rsidR="007F52AC">
        <w:t>likely prejudice the UK’s international relations. This is not in the public interest.</w:t>
      </w:r>
    </w:p>
    <w:p w14:paraId="15800AB5" w14:textId="2B171A2E" w:rsidR="00294374" w:rsidRPr="00685C8C" w:rsidRDefault="007F52AC" w:rsidP="00685C8C">
      <w:pPr>
        <w:pStyle w:val="Numbers"/>
      </w:pPr>
      <w:r>
        <w:t>The Commissioner is sat</w:t>
      </w:r>
      <w:r w:rsidR="00803919">
        <w:t>isfied that the balance of the public interest favours maintaining section 27(4) of FOIA</w:t>
      </w:r>
      <w:r w:rsidR="005161BB">
        <w:t xml:space="preserve"> as</w:t>
      </w:r>
      <w:r w:rsidR="007D6F68" w:rsidRPr="009D0E02">
        <w:t xml:space="preserve"> to confirm </w:t>
      </w:r>
      <w:r w:rsidR="003769B8" w:rsidRPr="009D0E02">
        <w:t>or</w:t>
      </w:r>
      <w:r w:rsidR="007D6F68" w:rsidRPr="009D0E02">
        <w:t xml:space="preserve"> deny information is held</w:t>
      </w:r>
      <w:r w:rsidR="009E50D2">
        <w:t xml:space="preserve"> may</w:t>
      </w:r>
      <w:r w:rsidR="007D6F68" w:rsidRPr="009D0E02">
        <w:t xml:space="preserve"> disclose exempt information</w:t>
      </w:r>
      <w:r w:rsidR="00870F8C">
        <w:t xml:space="preserve"> itself</w:t>
      </w:r>
      <w:r w:rsidR="007D6F68" w:rsidRPr="009D0E02">
        <w:t>.</w:t>
      </w:r>
    </w:p>
    <w:p w14:paraId="328A0B17" w14:textId="77777777" w:rsidR="006C1F49" w:rsidRDefault="006C1F49" w:rsidP="006C1F49">
      <w:pPr>
        <w:pStyle w:val="Sectionheadingwithbookmark"/>
      </w:pPr>
      <w:r>
        <w:lastRenderedPageBreak/>
        <w:t>Procedural matters</w:t>
      </w:r>
    </w:p>
    <w:p w14:paraId="74D831DE" w14:textId="7531E61D" w:rsidR="006C1F49" w:rsidRDefault="009D2B23" w:rsidP="006C1F49">
      <w:pPr>
        <w:pStyle w:val="Numbers"/>
      </w:pPr>
      <w:r w:rsidRPr="009D2B23">
        <w:t>Section 1(1) of FOIA provides that any person making a request for information to a public authority is entitled, subject to the application o</w:t>
      </w:r>
      <w:r w:rsidR="00AD496B">
        <w:t xml:space="preserve">f </w:t>
      </w:r>
      <w:r w:rsidR="00AD496B" w:rsidRPr="00AD496B">
        <w:t>any exemptions to be informed whether the requested information is held, and if so, to have that information provided to them.</w:t>
      </w:r>
    </w:p>
    <w:p w14:paraId="766DEA67" w14:textId="6041CF3B" w:rsidR="00AD496B" w:rsidRDefault="001046B0" w:rsidP="006C1F49">
      <w:pPr>
        <w:pStyle w:val="Numbers"/>
      </w:pPr>
      <w:r w:rsidRPr="001046B0">
        <w:t>Section 10(1) of FOIA provides that a public authority must comply with section 1(1) promptly and in any event not later than the twentieth working day following the date of receipt.</w:t>
      </w:r>
    </w:p>
    <w:p w14:paraId="45C7A0F0" w14:textId="59932FBF" w:rsidR="00B95602" w:rsidRDefault="00B95602" w:rsidP="006C1F49">
      <w:pPr>
        <w:pStyle w:val="Numbers"/>
      </w:pPr>
      <w:r w:rsidRPr="00B95602">
        <w:t>Under section 17(3) a public authority can, where it is citing a qualified exemption, have a ‘reasonable’ extension of time to consider the balance of the public interest. The Commissioner considers it reasonable to extend the time to provide a full response, including public interest considerations, by up to a further 20 working days, which would allow a public authority 40 working days in total. The Commissioner considers that any extension beyond 40 working days should be exceptional and requires the public authority to fully justify the time taken.</w:t>
      </w:r>
    </w:p>
    <w:p w14:paraId="1C87948F" w14:textId="3F9B805E" w:rsidR="00A637DD" w:rsidRPr="006C1F49" w:rsidRDefault="00A637DD" w:rsidP="006C1F49">
      <w:pPr>
        <w:pStyle w:val="Numbers"/>
      </w:pPr>
      <w:r>
        <w:t xml:space="preserve">In this case the complainant submitted their request on </w:t>
      </w:r>
      <w:r w:rsidR="00BA71E9">
        <w:t xml:space="preserve">21 March </w:t>
      </w:r>
      <w:r w:rsidR="00BF54D2">
        <w:t>2022,</w:t>
      </w:r>
      <w:r>
        <w:t xml:space="preserve"> but the FCDO did not provide </w:t>
      </w:r>
      <w:r w:rsidR="007D4735">
        <w:t xml:space="preserve">a substantive response to the request until </w:t>
      </w:r>
      <w:r w:rsidR="001B242B">
        <w:t>20 October 2022</w:t>
      </w:r>
      <w:r w:rsidR="007D4735">
        <w:t>.</w:t>
      </w:r>
      <w:r w:rsidR="00BA71E9" w:rsidRPr="00BA71E9">
        <w:t xml:space="preserve"> </w:t>
      </w:r>
      <w:r w:rsidR="00BA71E9">
        <w:t>The Commissioner does not consider this to be a reasonable period of time and therefore this delay represents a breach of section 17(3) of FOIA.</w:t>
      </w:r>
    </w:p>
    <w:p w14:paraId="24FDFA8D" w14:textId="77777777" w:rsidR="00E36F27" w:rsidRDefault="00E36F27" w:rsidP="00AC71A5">
      <w:pPr>
        <w:pStyle w:val="Sectionheadingwithbookmark"/>
      </w:pPr>
      <w:r w:rsidRPr="002F775F">
        <w:t>Other matters</w:t>
      </w:r>
    </w:p>
    <w:p w14:paraId="51C90ECB" w14:textId="77777777" w:rsidR="00256A8E" w:rsidRDefault="004352C5" w:rsidP="00744831">
      <w:pPr>
        <w:pStyle w:val="Numbers"/>
      </w:pPr>
      <w:r w:rsidRPr="004352C5">
        <w:t xml:space="preserve">The Commissioner notes the time taken for the FCDO to respond to the complainant’s internal review request of </w:t>
      </w:r>
      <w:r w:rsidR="00F342D7">
        <w:t>15 December 2022</w:t>
      </w:r>
      <w:r w:rsidRPr="004352C5">
        <w:t xml:space="preserve"> exceeded 40 working days. Although there is no statutory time limit for carrying out a review, it is best practice</w:t>
      </w:r>
      <w:r w:rsidR="00256A8E">
        <w:rPr>
          <w:rStyle w:val="FootnoteReference"/>
        </w:rPr>
        <w:footnoteReference w:id="1"/>
      </w:r>
      <w:r w:rsidRPr="004352C5">
        <w:t xml:space="preserve"> to do so within 20 working days, or in exceptional circumstances, 40 working days.</w:t>
      </w:r>
    </w:p>
    <w:p w14:paraId="3E81B217" w14:textId="449C99A0" w:rsidR="00E36F27" w:rsidRDefault="004352C5" w:rsidP="00744831">
      <w:pPr>
        <w:pStyle w:val="Numbers"/>
      </w:pPr>
      <w:r w:rsidRPr="004352C5">
        <w:t>The Commissioner is aware from</w:t>
      </w:r>
      <w:r w:rsidR="00610521">
        <w:t xml:space="preserve"> communication he ha</w:t>
      </w:r>
      <w:r w:rsidR="006E7856">
        <w:t>s</w:t>
      </w:r>
      <w:r w:rsidR="00610521">
        <w:t xml:space="preserve"> had with the public authority</w:t>
      </w:r>
      <w:r w:rsidRPr="004352C5">
        <w:t>, that the FCDO recognises it did not meet ICO best practice guidance regarding timelines for response to internal review requests.</w:t>
      </w:r>
      <w:r w:rsidR="005314CD">
        <w:t xml:space="preserve"> </w:t>
      </w:r>
      <w:r w:rsidR="0009504C">
        <w:t>Due to these excessive delays</w:t>
      </w:r>
      <w:r w:rsidR="005314CD">
        <w:t xml:space="preserve"> the Commissioner issued an Information Notice</w:t>
      </w:r>
      <w:r w:rsidR="004662FD">
        <w:t xml:space="preserve"> requiring the public authority to furnish him with information he required to enforce the requirements of FOIA.</w:t>
      </w:r>
      <w:r w:rsidRPr="004352C5">
        <w:t xml:space="preserve"> The FCDO </w:t>
      </w:r>
      <w:r w:rsidRPr="004352C5">
        <w:lastRenderedPageBreak/>
        <w:t>explained to the Commissioner the reasons for the delay in this case,</w:t>
      </w:r>
      <w:r w:rsidR="00160395">
        <w:t xml:space="preserve"> </w:t>
      </w:r>
      <w:r w:rsidR="003E3926">
        <w:t>varied reasons</w:t>
      </w:r>
      <w:r w:rsidRPr="004352C5">
        <w:t xml:space="preserve"> which was due to unforeseen circumstances. The Commissioner acknowledges that the FCDO has been actively</w:t>
      </w:r>
      <w:r w:rsidR="00972147">
        <w:t xml:space="preserve"> </w:t>
      </w:r>
      <w:r w:rsidR="00BB1C90">
        <w:t>working on this case</w:t>
      </w:r>
      <w:r w:rsidRPr="004352C5">
        <w:t>, and he notes the apology to the complainant for the inconvenience caused.</w:t>
      </w:r>
    </w:p>
    <w:p w14:paraId="1099DF0B" w14:textId="77777777" w:rsidR="00E36F27" w:rsidRPr="002D7984" w:rsidRDefault="00E36F27" w:rsidP="0063715D">
      <w:pPr>
        <w:pStyle w:val="Sectionheadingwithbookmark"/>
      </w:pPr>
      <w:r>
        <w:br w:type="page"/>
      </w:r>
      <w:r w:rsidRPr="002F775F">
        <w:lastRenderedPageBreak/>
        <w:t xml:space="preserve">Right of appeal </w:t>
      </w:r>
    </w:p>
    <w:p w14:paraId="7A0E75CB" w14:textId="77777777" w:rsidR="00E36F27" w:rsidRPr="00213302" w:rsidRDefault="00E36F27" w:rsidP="008E34C3">
      <w:pPr>
        <w:pStyle w:val="Numbers"/>
      </w:pPr>
      <w:r w:rsidRPr="00213302">
        <w:t xml:space="preserve">Either party has the right to appeal against this </w:t>
      </w:r>
      <w:r w:rsidR="00B057F4">
        <w:t>d</w:t>
      </w:r>
      <w:r w:rsidRPr="00213302">
        <w:t xml:space="preserve">ecision </w:t>
      </w:r>
      <w:r w:rsidR="00B057F4">
        <w:t>n</w:t>
      </w:r>
      <w:r w:rsidRPr="00213302">
        <w:t xml:space="preserve">otice to the First-tier Tribunal (Information Rights). Information about the appeals process may be obtained from: </w:t>
      </w:r>
    </w:p>
    <w:p w14:paraId="17C9F3EB"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First-tier Tribunal (Information Rights)</w:t>
      </w:r>
    </w:p>
    <w:p w14:paraId="399F4BEC"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 xml:space="preserve">GRC &amp; GRP Tribunals, </w:t>
      </w:r>
    </w:p>
    <w:p w14:paraId="2F307680"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 xml:space="preserve">PO Box 9300, </w:t>
      </w:r>
    </w:p>
    <w:p w14:paraId="713ED733"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 xml:space="preserve">LEICESTER, </w:t>
      </w:r>
    </w:p>
    <w:p w14:paraId="12D2C367"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 xml:space="preserve">LE1 8DJ </w:t>
      </w:r>
    </w:p>
    <w:p w14:paraId="3A9F1445" w14:textId="77777777" w:rsidR="00901A90" w:rsidRPr="00901A90" w:rsidRDefault="00901A90" w:rsidP="00901A90">
      <w:pPr>
        <w:pStyle w:val="Default"/>
        <w:rPr>
          <w:rFonts w:cs="Times New Roman"/>
          <w:color w:val="auto"/>
          <w:lang w:eastAsia="en-US"/>
        </w:rPr>
      </w:pPr>
    </w:p>
    <w:p w14:paraId="03D96A58"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 xml:space="preserve">Tel: </w:t>
      </w:r>
      <w:r w:rsidR="001C7131" w:rsidRPr="001C7131">
        <w:rPr>
          <w:rFonts w:cs="Times New Roman"/>
          <w:color w:val="auto"/>
          <w:lang w:eastAsia="en-US"/>
        </w:rPr>
        <w:t>0203 936 8963</w:t>
      </w:r>
    </w:p>
    <w:p w14:paraId="46D16C30" w14:textId="77777777" w:rsidR="00901A90" w:rsidRPr="00901A90" w:rsidRDefault="00901A90" w:rsidP="00901A90">
      <w:pPr>
        <w:pStyle w:val="Default"/>
        <w:ind w:left="720" w:firstLine="720"/>
        <w:rPr>
          <w:rFonts w:cs="Times New Roman"/>
          <w:color w:val="auto"/>
          <w:lang w:eastAsia="en-US"/>
        </w:rPr>
      </w:pPr>
      <w:r w:rsidRPr="00901A90">
        <w:rPr>
          <w:rFonts w:cs="Times New Roman"/>
          <w:color w:val="auto"/>
          <w:lang w:eastAsia="en-US"/>
        </w:rPr>
        <w:t>Fax: 0870</w:t>
      </w:r>
      <w:r w:rsidR="000F4498">
        <w:rPr>
          <w:rFonts w:cs="Times New Roman"/>
          <w:color w:val="auto"/>
          <w:lang w:eastAsia="en-US"/>
        </w:rPr>
        <w:t xml:space="preserve"> </w:t>
      </w:r>
      <w:r w:rsidRPr="00901A90">
        <w:rPr>
          <w:rFonts w:cs="Times New Roman"/>
          <w:color w:val="auto"/>
          <w:lang w:eastAsia="en-US"/>
        </w:rPr>
        <w:t>739 5836</w:t>
      </w:r>
    </w:p>
    <w:p w14:paraId="6B304C72" w14:textId="77777777" w:rsidR="000F4498" w:rsidRPr="000F4498" w:rsidRDefault="000F4498" w:rsidP="000F4498">
      <w:pPr>
        <w:pStyle w:val="Default"/>
        <w:ind w:left="720" w:firstLine="720"/>
        <w:rPr>
          <w:rFonts w:cs="Times New Roman"/>
          <w:color w:val="auto"/>
          <w:lang w:eastAsia="en-US"/>
        </w:rPr>
      </w:pPr>
      <w:r w:rsidRPr="000F4498">
        <w:rPr>
          <w:rFonts w:cs="Times New Roman"/>
          <w:color w:val="auto"/>
          <w:lang w:eastAsia="en-US"/>
        </w:rPr>
        <w:t xml:space="preserve">Email: </w:t>
      </w:r>
      <w:hyperlink r:id="rId13" w:history="1">
        <w:r w:rsidR="00E639FC">
          <w:rPr>
            <w:rStyle w:val="Hyperlink"/>
          </w:rPr>
          <w:t>grc@justice.gov.uk</w:t>
        </w:r>
      </w:hyperlink>
      <w:r>
        <w:rPr>
          <w:rFonts w:cs="Times New Roman"/>
          <w:color w:val="auto"/>
          <w:lang w:eastAsia="en-US"/>
        </w:rPr>
        <w:t xml:space="preserve"> </w:t>
      </w:r>
    </w:p>
    <w:p w14:paraId="36F1978B" w14:textId="77777777" w:rsidR="00901A90" w:rsidRDefault="000F4498" w:rsidP="000F4498">
      <w:pPr>
        <w:pStyle w:val="Default"/>
        <w:ind w:left="1440"/>
        <w:rPr>
          <w:rFonts w:cs="Times New Roman"/>
          <w:color w:val="auto"/>
          <w:lang w:eastAsia="en-US"/>
        </w:rPr>
      </w:pPr>
      <w:r w:rsidRPr="000F4498">
        <w:rPr>
          <w:rFonts w:cs="Times New Roman"/>
          <w:color w:val="auto"/>
          <w:lang w:eastAsia="en-US"/>
        </w:rPr>
        <w:t xml:space="preserve">Website: </w:t>
      </w:r>
      <w:hyperlink r:id="rId14" w:history="1">
        <w:r w:rsidRPr="0083300B">
          <w:rPr>
            <w:rStyle w:val="Hyperlink"/>
            <w:lang w:eastAsia="en-US"/>
          </w:rPr>
          <w:t>www.justice.gov.uk/tribunals/general-regulatory-chamber</w:t>
        </w:r>
      </w:hyperlink>
      <w:r>
        <w:rPr>
          <w:rFonts w:cs="Times New Roman"/>
          <w:color w:val="auto"/>
          <w:lang w:eastAsia="en-US"/>
        </w:rPr>
        <w:t xml:space="preserve"> </w:t>
      </w:r>
    </w:p>
    <w:p w14:paraId="6D4F7926" w14:textId="77777777" w:rsidR="00901A90" w:rsidRPr="00213302" w:rsidRDefault="00901A90" w:rsidP="00901A90">
      <w:pPr>
        <w:pStyle w:val="Default"/>
      </w:pPr>
    </w:p>
    <w:p w14:paraId="1CE795DA" w14:textId="77777777" w:rsidR="00E36F27" w:rsidRPr="00213302" w:rsidRDefault="00E36F27" w:rsidP="00804822">
      <w:pPr>
        <w:pStyle w:val="Numbers"/>
      </w:pPr>
      <w:r w:rsidRPr="00213302">
        <w:t xml:space="preserve">If you wish to appeal against a </w:t>
      </w:r>
      <w:r w:rsidR="00B057F4">
        <w:t>d</w:t>
      </w:r>
      <w:r w:rsidRPr="00213302">
        <w:t xml:space="preserve">ecision </w:t>
      </w:r>
      <w:r w:rsidR="00B057F4">
        <w:t>n</w:t>
      </w:r>
      <w:r w:rsidRPr="00213302">
        <w:t xml:space="preserve">otice, you can obtain information on how to appeal along with the relevant forms from the Information Tribunal website. </w:t>
      </w:r>
    </w:p>
    <w:p w14:paraId="7B6C8729" w14:textId="77777777" w:rsidR="00E36F27" w:rsidRPr="0004662A" w:rsidRDefault="00E36F27" w:rsidP="008E34C3">
      <w:pPr>
        <w:pStyle w:val="Numbers"/>
      </w:pPr>
      <w:r w:rsidRPr="00213302">
        <w:t xml:space="preserve">Any Notice of Appeal should be served on the Tribunal within 28 (calendar) days of the date on which this </w:t>
      </w:r>
      <w:r w:rsidR="00B057F4">
        <w:t>d</w:t>
      </w:r>
      <w:r w:rsidRPr="00213302">
        <w:t xml:space="preserve">ecision </w:t>
      </w:r>
      <w:r w:rsidR="00B057F4">
        <w:t>n</w:t>
      </w:r>
      <w:r w:rsidRPr="00213302">
        <w:t xml:space="preserve">otice is sent. </w:t>
      </w:r>
    </w:p>
    <w:p w14:paraId="0D8A2E3A" w14:textId="77777777" w:rsidR="00E36F27" w:rsidRDefault="00E36F27" w:rsidP="00E659A9">
      <w:pPr>
        <w:pStyle w:val="Default"/>
        <w:ind w:left="720" w:hanging="720"/>
        <w:rPr>
          <w:b/>
          <w:bCs/>
        </w:rPr>
      </w:pPr>
    </w:p>
    <w:p w14:paraId="091C2424" w14:textId="77777777" w:rsidR="00E36F27" w:rsidRDefault="00E36F27" w:rsidP="00E659A9">
      <w:pPr>
        <w:pStyle w:val="Default"/>
        <w:ind w:left="720" w:hanging="720"/>
        <w:rPr>
          <w:b/>
          <w:bCs/>
        </w:rPr>
      </w:pPr>
    </w:p>
    <w:p w14:paraId="17A32DFB" w14:textId="4CCD42A6" w:rsidR="00E36F27" w:rsidRDefault="00E34DB1" w:rsidP="00E659A9">
      <w:pPr>
        <w:pStyle w:val="Default"/>
        <w:ind w:left="720" w:hanging="720"/>
        <w:rPr>
          <w:b/>
          <w:bCs/>
        </w:rPr>
      </w:pPr>
      <w:r>
        <w:rPr>
          <w:b/>
          <w:bCs/>
        </w:rPr>
        <w:t xml:space="preserve">               </w:t>
      </w:r>
    </w:p>
    <w:p w14:paraId="6A27B2CC" w14:textId="77777777" w:rsidR="00E36F27" w:rsidRPr="00213302" w:rsidRDefault="00E36F27" w:rsidP="00E659A9">
      <w:pPr>
        <w:pStyle w:val="Default"/>
        <w:ind w:left="720" w:hanging="720"/>
      </w:pPr>
      <w:r w:rsidRPr="00213302">
        <w:rPr>
          <w:b/>
          <w:bCs/>
        </w:rPr>
        <w:t xml:space="preserve">Signed ……………………………………………… </w:t>
      </w:r>
    </w:p>
    <w:p w14:paraId="10033A4B" w14:textId="77777777" w:rsidR="00E36F27" w:rsidRPr="00213302" w:rsidRDefault="00E36F27" w:rsidP="00E659A9">
      <w:pPr>
        <w:pStyle w:val="Default"/>
      </w:pPr>
    </w:p>
    <w:p w14:paraId="66DFFE39" w14:textId="798B0100" w:rsidR="00E36F27" w:rsidRPr="00213302" w:rsidRDefault="00CD2B6E" w:rsidP="0071712C">
      <w:pPr>
        <w:pStyle w:val="Address"/>
      </w:pPr>
      <w:r>
        <w:t>Esi Mensah</w:t>
      </w:r>
    </w:p>
    <w:p w14:paraId="3A28CCA4" w14:textId="38F9F861" w:rsidR="00E36F27" w:rsidRPr="00213302" w:rsidRDefault="00CD2B6E" w:rsidP="0071712C">
      <w:pPr>
        <w:pStyle w:val="Address"/>
      </w:pPr>
      <w:r>
        <w:t>Senior Case Officer</w:t>
      </w:r>
    </w:p>
    <w:p w14:paraId="4A3F73B0" w14:textId="77777777" w:rsidR="00E36F27" w:rsidRPr="00213302" w:rsidRDefault="00E36F27" w:rsidP="0071712C">
      <w:pPr>
        <w:pStyle w:val="Address"/>
      </w:pPr>
      <w:r w:rsidRPr="00213302">
        <w:rPr>
          <w:bCs/>
        </w:rPr>
        <w:t xml:space="preserve">Information Commissioner’s Office </w:t>
      </w:r>
    </w:p>
    <w:p w14:paraId="7F46050B" w14:textId="77777777" w:rsidR="00E36F27" w:rsidRPr="00BB5C46" w:rsidRDefault="00E36F27" w:rsidP="00BB5C46">
      <w:pPr>
        <w:pStyle w:val="Address"/>
      </w:pPr>
      <w:r w:rsidRPr="00213302">
        <w:t xml:space="preserve">Wycliffe House </w:t>
      </w:r>
    </w:p>
    <w:p w14:paraId="3C3C7C98" w14:textId="77777777" w:rsidR="00E36F27" w:rsidRPr="00213302" w:rsidRDefault="00E36F27" w:rsidP="0071712C">
      <w:pPr>
        <w:pStyle w:val="Address"/>
      </w:pPr>
      <w:r w:rsidRPr="00213302">
        <w:t xml:space="preserve">Water Lane </w:t>
      </w:r>
    </w:p>
    <w:p w14:paraId="7784A7F6" w14:textId="77777777" w:rsidR="00E36F27" w:rsidRPr="00213302" w:rsidRDefault="00E36F27" w:rsidP="0071712C">
      <w:pPr>
        <w:pStyle w:val="Address"/>
      </w:pPr>
      <w:r w:rsidRPr="00213302">
        <w:t xml:space="preserve">Wilmslow </w:t>
      </w:r>
    </w:p>
    <w:p w14:paraId="372C72EB" w14:textId="77777777" w:rsidR="00E36F27" w:rsidRPr="00213302" w:rsidRDefault="00E36F27" w:rsidP="0071712C">
      <w:pPr>
        <w:pStyle w:val="Address"/>
      </w:pPr>
      <w:r w:rsidRPr="00213302">
        <w:t xml:space="preserve">Cheshire </w:t>
      </w:r>
    </w:p>
    <w:p w14:paraId="3F41603C" w14:textId="77777777" w:rsidR="00E36F27" w:rsidRPr="00804822" w:rsidRDefault="00E36F27" w:rsidP="00804822">
      <w:pPr>
        <w:pStyle w:val="Address"/>
      </w:pPr>
      <w:r w:rsidRPr="00213302">
        <w:t>SK9 5AF</w:t>
      </w:r>
      <w:r>
        <w:t xml:space="preserve"> </w:t>
      </w:r>
    </w:p>
    <w:sectPr w:rsidR="00E36F27" w:rsidRPr="00804822" w:rsidSect="00330635">
      <w:headerReference w:type="default" r:id="rId15"/>
      <w:footerReference w:type="even" r:id="rId16"/>
      <w:footerReference w:type="default" r:id="rId17"/>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A6B7" w14:textId="77777777" w:rsidR="00DE36E1" w:rsidRDefault="00DE36E1">
      <w:r>
        <w:separator/>
      </w:r>
    </w:p>
    <w:p w14:paraId="58BF6AE2" w14:textId="77777777" w:rsidR="00DE36E1" w:rsidRDefault="00DE36E1"/>
  </w:endnote>
  <w:endnote w:type="continuationSeparator" w:id="0">
    <w:p w14:paraId="01D3CDB9" w14:textId="77777777" w:rsidR="00DE36E1" w:rsidRDefault="00DE36E1">
      <w:r>
        <w:continuationSeparator/>
      </w:r>
    </w:p>
    <w:p w14:paraId="3587F113" w14:textId="77777777" w:rsidR="00DE36E1" w:rsidRDefault="00DE3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8E4A" w14:textId="77777777" w:rsidR="00386730" w:rsidRDefault="00386730" w:rsidP="00330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586920" w14:textId="77777777" w:rsidR="00386730" w:rsidRDefault="00386730" w:rsidP="00330635">
    <w:pPr>
      <w:pStyle w:val="Footer"/>
      <w:ind w:right="360"/>
    </w:pPr>
  </w:p>
  <w:p w14:paraId="0DC5CBF7" w14:textId="77777777" w:rsidR="00386730" w:rsidRDefault="003867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A51F" w14:textId="77777777" w:rsidR="00386730" w:rsidRDefault="00386730" w:rsidP="00330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6CF">
      <w:rPr>
        <w:rStyle w:val="PageNumber"/>
        <w:noProof/>
      </w:rPr>
      <w:t>3</w:t>
    </w:r>
    <w:r>
      <w:rPr>
        <w:rStyle w:val="PageNumber"/>
      </w:rPr>
      <w:fldChar w:fldCharType="end"/>
    </w:r>
  </w:p>
  <w:p w14:paraId="57426C0E" w14:textId="33578F3A" w:rsidR="00386730" w:rsidRPr="00BA285E" w:rsidRDefault="00386730" w:rsidP="00273455">
    <w:pPr>
      <w:pStyle w:val="Head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5946" w14:textId="77777777" w:rsidR="00DE36E1" w:rsidRDefault="00DE36E1">
      <w:r>
        <w:separator/>
      </w:r>
    </w:p>
    <w:p w14:paraId="26DE8D2D" w14:textId="77777777" w:rsidR="00DE36E1" w:rsidRDefault="00DE36E1"/>
  </w:footnote>
  <w:footnote w:type="continuationSeparator" w:id="0">
    <w:p w14:paraId="5C2E176C" w14:textId="77777777" w:rsidR="00DE36E1" w:rsidRDefault="00DE36E1">
      <w:r>
        <w:continuationSeparator/>
      </w:r>
    </w:p>
    <w:p w14:paraId="6F457CCC" w14:textId="77777777" w:rsidR="00DE36E1" w:rsidRDefault="00DE36E1"/>
  </w:footnote>
  <w:footnote w:id="1">
    <w:p w14:paraId="3FF7D8D0" w14:textId="33A1A89E" w:rsidR="00256A8E" w:rsidRDefault="00256A8E">
      <w:pPr>
        <w:pStyle w:val="FootnoteText"/>
      </w:pPr>
      <w:r>
        <w:rPr>
          <w:rStyle w:val="FootnoteReference"/>
        </w:rPr>
        <w:footnoteRef/>
      </w:r>
      <w:r>
        <w:t xml:space="preserve"> </w:t>
      </w:r>
      <w:r w:rsidRPr="00256A8E">
        <w:t>https://assets.publishing.service.gov.uk/government/uploads/system/uploads/attachment_data/file/744071/CoP_FOI_Code_of_Practice_-_Minor_Amendments_20180926_.pdf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268" w14:textId="283751E7" w:rsidR="00386730" w:rsidRPr="007307C6" w:rsidRDefault="00AC71A5" w:rsidP="000A2B66">
    <w:pPr>
      <w:pStyle w:val="Header"/>
    </w:pPr>
    <w:r>
      <w:rPr>
        <w:noProof/>
        <w:lang w:eastAsia="en-GB"/>
      </w:rPr>
      <w:drawing>
        <wp:anchor distT="0" distB="0" distL="114300" distR="114300" simplePos="0" relativeHeight="251657728" behindDoc="0" locked="0" layoutInCell="1" allowOverlap="1" wp14:anchorId="64ACEBC4" wp14:editId="58DD9B90">
          <wp:simplePos x="0" y="0"/>
          <wp:positionH relativeFrom="column">
            <wp:posOffset>5143500</wp:posOffset>
          </wp:positionH>
          <wp:positionV relativeFrom="paragraph">
            <wp:posOffset>-335915</wp:posOffset>
          </wp:positionV>
          <wp:extent cx="1371600" cy="1026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pic:spPr>
              </pic:pic>
            </a:graphicData>
          </a:graphic>
          <wp14:sizeRelH relativeFrom="page">
            <wp14:pctWidth>0</wp14:pctWidth>
          </wp14:sizeRelH>
          <wp14:sizeRelV relativeFrom="page">
            <wp14:pctHeight>0</wp14:pctHeight>
          </wp14:sizeRelV>
        </wp:anchor>
      </w:drawing>
    </w:r>
    <w:r w:rsidR="00386730" w:rsidRPr="00915F52">
      <w:rPr>
        <w:rFonts w:cs="Arial"/>
      </w:rPr>
      <w:t xml:space="preserve">Reference:  </w:t>
    </w:r>
    <w:r w:rsidR="007307C6" w:rsidRPr="007307C6">
      <w:t>IC-226959-S3N3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3C50"/>
    <w:multiLevelType w:val="multilevel"/>
    <w:tmpl w:val="8B76CCCC"/>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37D40939"/>
    <w:multiLevelType w:val="hybridMultilevel"/>
    <w:tmpl w:val="02E2176C"/>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377FD2"/>
    <w:multiLevelType w:val="hybridMultilevel"/>
    <w:tmpl w:val="ECD8CCDC"/>
    <w:lvl w:ilvl="0" w:tplc="F6222CC6">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7A203E"/>
    <w:multiLevelType w:val="hybridMultilevel"/>
    <w:tmpl w:val="901858C6"/>
    <w:lvl w:ilvl="0" w:tplc="F6222CC6">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10B24"/>
    <w:multiLevelType w:val="hybridMultilevel"/>
    <w:tmpl w:val="40DEE73C"/>
    <w:lvl w:ilvl="0" w:tplc="4DBA692C">
      <w:start w:val="1"/>
      <w:numFmt w:val="lowerLetter"/>
      <w:pStyle w:val="Alphabeticallylist"/>
      <w:lvlText w:val="(%1)"/>
      <w:lvlJc w:val="left"/>
      <w:pPr>
        <w:tabs>
          <w:tab w:val="num" w:pos="1134"/>
        </w:tabs>
        <w:ind w:left="1304" w:hanging="397"/>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5DD74B52"/>
    <w:multiLevelType w:val="hybridMultilevel"/>
    <w:tmpl w:val="8610737E"/>
    <w:lvl w:ilvl="0" w:tplc="F6222CC6">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590BE4"/>
    <w:multiLevelType w:val="hybridMultilevel"/>
    <w:tmpl w:val="5C74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E437A"/>
    <w:multiLevelType w:val="hybridMultilevel"/>
    <w:tmpl w:val="89120BB2"/>
    <w:lvl w:ilvl="0" w:tplc="11542892">
      <w:start w:val="1"/>
      <w:numFmt w:val="decimal"/>
      <w:pStyle w:val="Numbers"/>
      <w:lvlText w:val="%1."/>
      <w:lvlJc w:val="left"/>
      <w:pPr>
        <w:tabs>
          <w:tab w:val="num" w:pos="567"/>
        </w:tabs>
        <w:ind w:left="567" w:hanging="567"/>
      </w:pPr>
      <w:rPr>
        <w:rFonts w:cs="Times New Roman"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D4F464F"/>
    <w:multiLevelType w:val="hybridMultilevel"/>
    <w:tmpl w:val="2F44BAE0"/>
    <w:lvl w:ilvl="0" w:tplc="73B442B0">
      <w:start w:val="1"/>
      <w:numFmt w:val="bullet"/>
      <w:pStyle w:val="Unorderedlis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72D54"/>
    <w:multiLevelType w:val="hybridMultilevel"/>
    <w:tmpl w:val="BC2EDD4A"/>
    <w:lvl w:ilvl="0" w:tplc="F464465E">
      <w:start w:val="1"/>
      <w:numFmt w:val="lowerRoman"/>
      <w:pStyle w:val="Numberedparagraph"/>
      <w:lvlText w:val="(%1)"/>
      <w:lvlJc w:val="left"/>
      <w:pPr>
        <w:tabs>
          <w:tab w:val="num" w:pos="1134"/>
        </w:tabs>
        <w:ind w:left="1304"/>
      </w:pPr>
      <w:rPr>
        <w:rFonts w:cs="Times New Roman"/>
        <w:b w:val="0"/>
        <w:i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16cid:durableId="253324316">
    <w:abstractNumId w:val="7"/>
  </w:num>
  <w:num w:numId="2" w16cid:durableId="1509103934">
    <w:abstractNumId w:val="8"/>
  </w:num>
  <w:num w:numId="3" w16cid:durableId="1229921390">
    <w:abstractNumId w:val="0"/>
  </w:num>
  <w:num w:numId="4" w16cid:durableId="438066077">
    <w:abstractNumId w:val="2"/>
  </w:num>
  <w:num w:numId="5" w16cid:durableId="1563829609">
    <w:abstractNumId w:val="3"/>
  </w:num>
  <w:num w:numId="6" w16cid:durableId="26492553">
    <w:abstractNumId w:val="5"/>
  </w:num>
  <w:num w:numId="7" w16cid:durableId="190806922">
    <w:abstractNumId w:val="6"/>
  </w:num>
  <w:num w:numId="8" w16cid:durableId="1656571771">
    <w:abstractNumId w:val="1"/>
  </w:num>
  <w:num w:numId="9" w16cid:durableId="721640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3772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721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5D"/>
    <w:rsid w:val="000013FE"/>
    <w:rsid w:val="000060E6"/>
    <w:rsid w:val="00011738"/>
    <w:rsid w:val="00015100"/>
    <w:rsid w:val="000213D5"/>
    <w:rsid w:val="00022F2D"/>
    <w:rsid w:val="00024021"/>
    <w:rsid w:val="00024621"/>
    <w:rsid w:val="00025116"/>
    <w:rsid w:val="000273E8"/>
    <w:rsid w:val="00033865"/>
    <w:rsid w:val="00035B52"/>
    <w:rsid w:val="00036259"/>
    <w:rsid w:val="0004022C"/>
    <w:rsid w:val="00041ADE"/>
    <w:rsid w:val="000425E8"/>
    <w:rsid w:val="00043B24"/>
    <w:rsid w:val="0004440B"/>
    <w:rsid w:val="00044EFD"/>
    <w:rsid w:val="0004662A"/>
    <w:rsid w:val="00047445"/>
    <w:rsid w:val="000519DD"/>
    <w:rsid w:val="000564EC"/>
    <w:rsid w:val="000616F0"/>
    <w:rsid w:val="0006314B"/>
    <w:rsid w:val="00067E65"/>
    <w:rsid w:val="00073B0B"/>
    <w:rsid w:val="00076CFF"/>
    <w:rsid w:val="00080959"/>
    <w:rsid w:val="000828C9"/>
    <w:rsid w:val="00083A03"/>
    <w:rsid w:val="00084A35"/>
    <w:rsid w:val="0009504C"/>
    <w:rsid w:val="000A1F95"/>
    <w:rsid w:val="000A2B66"/>
    <w:rsid w:val="000B3CFE"/>
    <w:rsid w:val="000B579E"/>
    <w:rsid w:val="000B76A1"/>
    <w:rsid w:val="000B7C38"/>
    <w:rsid w:val="000C0F87"/>
    <w:rsid w:val="000D21B2"/>
    <w:rsid w:val="000D2369"/>
    <w:rsid w:val="000E23EE"/>
    <w:rsid w:val="000E3684"/>
    <w:rsid w:val="000F29DB"/>
    <w:rsid w:val="000F4498"/>
    <w:rsid w:val="000F5704"/>
    <w:rsid w:val="000F7D74"/>
    <w:rsid w:val="00100863"/>
    <w:rsid w:val="00100E2D"/>
    <w:rsid w:val="001016DC"/>
    <w:rsid w:val="00101941"/>
    <w:rsid w:val="00102DE3"/>
    <w:rsid w:val="00102ECA"/>
    <w:rsid w:val="001046B0"/>
    <w:rsid w:val="00106351"/>
    <w:rsid w:val="0010771E"/>
    <w:rsid w:val="00107C87"/>
    <w:rsid w:val="00111710"/>
    <w:rsid w:val="001166FD"/>
    <w:rsid w:val="00116826"/>
    <w:rsid w:val="001178A3"/>
    <w:rsid w:val="00122727"/>
    <w:rsid w:val="0012399D"/>
    <w:rsid w:val="00133866"/>
    <w:rsid w:val="001339DE"/>
    <w:rsid w:val="00137496"/>
    <w:rsid w:val="00137799"/>
    <w:rsid w:val="001404A8"/>
    <w:rsid w:val="00141BA4"/>
    <w:rsid w:val="0014203C"/>
    <w:rsid w:val="00143368"/>
    <w:rsid w:val="001451E5"/>
    <w:rsid w:val="00145A08"/>
    <w:rsid w:val="00146EC2"/>
    <w:rsid w:val="00153572"/>
    <w:rsid w:val="001555A5"/>
    <w:rsid w:val="00155774"/>
    <w:rsid w:val="00160395"/>
    <w:rsid w:val="001619FF"/>
    <w:rsid w:val="00161FE7"/>
    <w:rsid w:val="00163557"/>
    <w:rsid w:val="00167919"/>
    <w:rsid w:val="00167ADB"/>
    <w:rsid w:val="00172876"/>
    <w:rsid w:val="00173FCE"/>
    <w:rsid w:val="00180B61"/>
    <w:rsid w:val="00181051"/>
    <w:rsid w:val="0018131E"/>
    <w:rsid w:val="00183D7F"/>
    <w:rsid w:val="00185A11"/>
    <w:rsid w:val="0018610C"/>
    <w:rsid w:val="00186331"/>
    <w:rsid w:val="001961B1"/>
    <w:rsid w:val="001A0005"/>
    <w:rsid w:val="001A2F82"/>
    <w:rsid w:val="001A5141"/>
    <w:rsid w:val="001A5D95"/>
    <w:rsid w:val="001A73F1"/>
    <w:rsid w:val="001A7A89"/>
    <w:rsid w:val="001B2415"/>
    <w:rsid w:val="001B242B"/>
    <w:rsid w:val="001B326B"/>
    <w:rsid w:val="001B451E"/>
    <w:rsid w:val="001C1E43"/>
    <w:rsid w:val="001C2533"/>
    <w:rsid w:val="001C27DA"/>
    <w:rsid w:val="001C3C7A"/>
    <w:rsid w:val="001C51F6"/>
    <w:rsid w:val="001C5603"/>
    <w:rsid w:val="001C7131"/>
    <w:rsid w:val="001E158C"/>
    <w:rsid w:val="001E5313"/>
    <w:rsid w:val="001F27DF"/>
    <w:rsid w:val="001F3E6B"/>
    <w:rsid w:val="001F4052"/>
    <w:rsid w:val="001F4238"/>
    <w:rsid w:val="001F46D8"/>
    <w:rsid w:val="001F6191"/>
    <w:rsid w:val="001F7553"/>
    <w:rsid w:val="00201A17"/>
    <w:rsid w:val="00204DAE"/>
    <w:rsid w:val="002103AA"/>
    <w:rsid w:val="00210931"/>
    <w:rsid w:val="00210E45"/>
    <w:rsid w:val="00212E8F"/>
    <w:rsid w:val="00213302"/>
    <w:rsid w:val="00215259"/>
    <w:rsid w:val="00230E69"/>
    <w:rsid w:val="00231324"/>
    <w:rsid w:val="00234FED"/>
    <w:rsid w:val="002439F0"/>
    <w:rsid w:val="00247F27"/>
    <w:rsid w:val="00252DA3"/>
    <w:rsid w:val="002534CE"/>
    <w:rsid w:val="00255ADF"/>
    <w:rsid w:val="00256A8E"/>
    <w:rsid w:val="00257A39"/>
    <w:rsid w:val="00270366"/>
    <w:rsid w:val="00271D9B"/>
    <w:rsid w:val="0027224C"/>
    <w:rsid w:val="00273455"/>
    <w:rsid w:val="00275A09"/>
    <w:rsid w:val="0027604B"/>
    <w:rsid w:val="00277938"/>
    <w:rsid w:val="002848F4"/>
    <w:rsid w:val="00284C71"/>
    <w:rsid w:val="002869FA"/>
    <w:rsid w:val="00294374"/>
    <w:rsid w:val="002969CF"/>
    <w:rsid w:val="002975AA"/>
    <w:rsid w:val="002A0031"/>
    <w:rsid w:val="002A3A9A"/>
    <w:rsid w:val="002A516D"/>
    <w:rsid w:val="002A5584"/>
    <w:rsid w:val="002A655A"/>
    <w:rsid w:val="002A7D16"/>
    <w:rsid w:val="002B0523"/>
    <w:rsid w:val="002B0809"/>
    <w:rsid w:val="002B08FF"/>
    <w:rsid w:val="002B4049"/>
    <w:rsid w:val="002B4EC6"/>
    <w:rsid w:val="002B6075"/>
    <w:rsid w:val="002B7870"/>
    <w:rsid w:val="002C0DB2"/>
    <w:rsid w:val="002C2858"/>
    <w:rsid w:val="002C2C95"/>
    <w:rsid w:val="002C4325"/>
    <w:rsid w:val="002C4864"/>
    <w:rsid w:val="002C665A"/>
    <w:rsid w:val="002D7984"/>
    <w:rsid w:val="002E077D"/>
    <w:rsid w:val="002E0E99"/>
    <w:rsid w:val="002E1849"/>
    <w:rsid w:val="002E23BD"/>
    <w:rsid w:val="002E24D4"/>
    <w:rsid w:val="002E2DF3"/>
    <w:rsid w:val="002E3097"/>
    <w:rsid w:val="002E43AD"/>
    <w:rsid w:val="002E5011"/>
    <w:rsid w:val="002F0974"/>
    <w:rsid w:val="002F1934"/>
    <w:rsid w:val="002F5941"/>
    <w:rsid w:val="002F775F"/>
    <w:rsid w:val="0030090A"/>
    <w:rsid w:val="00300F32"/>
    <w:rsid w:val="0030375F"/>
    <w:rsid w:val="00303B47"/>
    <w:rsid w:val="0030470F"/>
    <w:rsid w:val="00310684"/>
    <w:rsid w:val="00311B05"/>
    <w:rsid w:val="00312262"/>
    <w:rsid w:val="00313A81"/>
    <w:rsid w:val="00313F3D"/>
    <w:rsid w:val="00317FB5"/>
    <w:rsid w:val="00323AD9"/>
    <w:rsid w:val="00330635"/>
    <w:rsid w:val="003338E3"/>
    <w:rsid w:val="003363F8"/>
    <w:rsid w:val="00342C56"/>
    <w:rsid w:val="003474D7"/>
    <w:rsid w:val="00347B6E"/>
    <w:rsid w:val="003504A2"/>
    <w:rsid w:val="00353B03"/>
    <w:rsid w:val="00353CDA"/>
    <w:rsid w:val="003544AD"/>
    <w:rsid w:val="0035690B"/>
    <w:rsid w:val="00361FE9"/>
    <w:rsid w:val="0036282D"/>
    <w:rsid w:val="00366655"/>
    <w:rsid w:val="00370B8C"/>
    <w:rsid w:val="003713EB"/>
    <w:rsid w:val="003728D1"/>
    <w:rsid w:val="00373EA9"/>
    <w:rsid w:val="003742BA"/>
    <w:rsid w:val="00374E47"/>
    <w:rsid w:val="003769B8"/>
    <w:rsid w:val="00380059"/>
    <w:rsid w:val="0038107E"/>
    <w:rsid w:val="003815A2"/>
    <w:rsid w:val="00381C3F"/>
    <w:rsid w:val="0038283D"/>
    <w:rsid w:val="0038642E"/>
    <w:rsid w:val="00386730"/>
    <w:rsid w:val="00390B0E"/>
    <w:rsid w:val="00390CB8"/>
    <w:rsid w:val="00394751"/>
    <w:rsid w:val="00396534"/>
    <w:rsid w:val="00396F71"/>
    <w:rsid w:val="003A11E6"/>
    <w:rsid w:val="003B3A0D"/>
    <w:rsid w:val="003B60AD"/>
    <w:rsid w:val="003C0FB1"/>
    <w:rsid w:val="003C2FC0"/>
    <w:rsid w:val="003C401C"/>
    <w:rsid w:val="003D0D0F"/>
    <w:rsid w:val="003D1F7B"/>
    <w:rsid w:val="003D3DFE"/>
    <w:rsid w:val="003D7D3B"/>
    <w:rsid w:val="003E079A"/>
    <w:rsid w:val="003E0A7E"/>
    <w:rsid w:val="003E2360"/>
    <w:rsid w:val="003E3926"/>
    <w:rsid w:val="003F0771"/>
    <w:rsid w:val="003F0F5D"/>
    <w:rsid w:val="003F1FE4"/>
    <w:rsid w:val="003F24EA"/>
    <w:rsid w:val="003F3F81"/>
    <w:rsid w:val="003F51A7"/>
    <w:rsid w:val="00400DAB"/>
    <w:rsid w:val="00404F68"/>
    <w:rsid w:val="004060A9"/>
    <w:rsid w:val="00407D06"/>
    <w:rsid w:val="00411B71"/>
    <w:rsid w:val="00417606"/>
    <w:rsid w:val="004239C2"/>
    <w:rsid w:val="00430F31"/>
    <w:rsid w:val="00433397"/>
    <w:rsid w:val="00434D40"/>
    <w:rsid w:val="004352C5"/>
    <w:rsid w:val="004434B6"/>
    <w:rsid w:val="00445996"/>
    <w:rsid w:val="0045589D"/>
    <w:rsid w:val="004567E9"/>
    <w:rsid w:val="00460B02"/>
    <w:rsid w:val="00461E76"/>
    <w:rsid w:val="00463FA8"/>
    <w:rsid w:val="004662FD"/>
    <w:rsid w:val="00466C21"/>
    <w:rsid w:val="0047286B"/>
    <w:rsid w:val="00472F33"/>
    <w:rsid w:val="00474FA3"/>
    <w:rsid w:val="00476249"/>
    <w:rsid w:val="00490E61"/>
    <w:rsid w:val="00491980"/>
    <w:rsid w:val="004946D0"/>
    <w:rsid w:val="00495B2A"/>
    <w:rsid w:val="004A7B37"/>
    <w:rsid w:val="004B1255"/>
    <w:rsid w:val="004B203B"/>
    <w:rsid w:val="004B208C"/>
    <w:rsid w:val="004B2758"/>
    <w:rsid w:val="004B2DD5"/>
    <w:rsid w:val="004B321A"/>
    <w:rsid w:val="004C0768"/>
    <w:rsid w:val="004C1516"/>
    <w:rsid w:val="004C29B6"/>
    <w:rsid w:val="004C2C1D"/>
    <w:rsid w:val="004C717B"/>
    <w:rsid w:val="004D0A7A"/>
    <w:rsid w:val="004D1D5B"/>
    <w:rsid w:val="004E1701"/>
    <w:rsid w:val="004E1C77"/>
    <w:rsid w:val="004E3EF2"/>
    <w:rsid w:val="004E4353"/>
    <w:rsid w:val="004E484D"/>
    <w:rsid w:val="004E5A5F"/>
    <w:rsid w:val="004E5CC8"/>
    <w:rsid w:val="004E64F6"/>
    <w:rsid w:val="004F16D5"/>
    <w:rsid w:val="004F1CC8"/>
    <w:rsid w:val="004F1E0F"/>
    <w:rsid w:val="004F4235"/>
    <w:rsid w:val="004F687B"/>
    <w:rsid w:val="004F7BDE"/>
    <w:rsid w:val="00512477"/>
    <w:rsid w:val="005141F8"/>
    <w:rsid w:val="005161BB"/>
    <w:rsid w:val="00520762"/>
    <w:rsid w:val="0052275C"/>
    <w:rsid w:val="00523358"/>
    <w:rsid w:val="0052433E"/>
    <w:rsid w:val="00524485"/>
    <w:rsid w:val="00526ADA"/>
    <w:rsid w:val="005314CD"/>
    <w:rsid w:val="0053344C"/>
    <w:rsid w:val="00533EFA"/>
    <w:rsid w:val="0053477E"/>
    <w:rsid w:val="0055059B"/>
    <w:rsid w:val="005524A8"/>
    <w:rsid w:val="00562F9D"/>
    <w:rsid w:val="00566D00"/>
    <w:rsid w:val="00571464"/>
    <w:rsid w:val="005770F0"/>
    <w:rsid w:val="005801A5"/>
    <w:rsid w:val="005844B6"/>
    <w:rsid w:val="0058680F"/>
    <w:rsid w:val="005873A4"/>
    <w:rsid w:val="00596EC3"/>
    <w:rsid w:val="005A0AE5"/>
    <w:rsid w:val="005A38B8"/>
    <w:rsid w:val="005A463A"/>
    <w:rsid w:val="005B0CD5"/>
    <w:rsid w:val="005B1B19"/>
    <w:rsid w:val="005B3875"/>
    <w:rsid w:val="005C007D"/>
    <w:rsid w:val="005C1D08"/>
    <w:rsid w:val="005C2CF3"/>
    <w:rsid w:val="005C31A2"/>
    <w:rsid w:val="005C4117"/>
    <w:rsid w:val="005C4DAB"/>
    <w:rsid w:val="005C60D3"/>
    <w:rsid w:val="005D07E2"/>
    <w:rsid w:val="005D13AE"/>
    <w:rsid w:val="005D3D43"/>
    <w:rsid w:val="005E0088"/>
    <w:rsid w:val="005E4447"/>
    <w:rsid w:val="00600E4D"/>
    <w:rsid w:val="0060414F"/>
    <w:rsid w:val="00604A83"/>
    <w:rsid w:val="00605DCE"/>
    <w:rsid w:val="00606A34"/>
    <w:rsid w:val="00610521"/>
    <w:rsid w:val="006145F4"/>
    <w:rsid w:val="00616C5F"/>
    <w:rsid w:val="00621628"/>
    <w:rsid w:val="00625758"/>
    <w:rsid w:val="00625EAE"/>
    <w:rsid w:val="006308A0"/>
    <w:rsid w:val="00630EA7"/>
    <w:rsid w:val="00632DB3"/>
    <w:rsid w:val="00633405"/>
    <w:rsid w:val="00635C38"/>
    <w:rsid w:val="00636E89"/>
    <w:rsid w:val="0063715D"/>
    <w:rsid w:val="00637351"/>
    <w:rsid w:val="006412DF"/>
    <w:rsid w:val="00645C4B"/>
    <w:rsid w:val="006466F7"/>
    <w:rsid w:val="00647F8F"/>
    <w:rsid w:val="0065080A"/>
    <w:rsid w:val="006515C5"/>
    <w:rsid w:val="0065244C"/>
    <w:rsid w:val="00653797"/>
    <w:rsid w:val="00654DE5"/>
    <w:rsid w:val="00656276"/>
    <w:rsid w:val="00660122"/>
    <w:rsid w:val="0066149A"/>
    <w:rsid w:val="00662BDD"/>
    <w:rsid w:val="00664197"/>
    <w:rsid w:val="006704EB"/>
    <w:rsid w:val="00670573"/>
    <w:rsid w:val="00671B29"/>
    <w:rsid w:val="0067572F"/>
    <w:rsid w:val="00683AD5"/>
    <w:rsid w:val="00684D68"/>
    <w:rsid w:val="00685C8C"/>
    <w:rsid w:val="0068678D"/>
    <w:rsid w:val="00690022"/>
    <w:rsid w:val="00690B0E"/>
    <w:rsid w:val="006976D2"/>
    <w:rsid w:val="006A0674"/>
    <w:rsid w:val="006A4B67"/>
    <w:rsid w:val="006A7DB8"/>
    <w:rsid w:val="006B1E98"/>
    <w:rsid w:val="006B7B0E"/>
    <w:rsid w:val="006C04DD"/>
    <w:rsid w:val="006C14DF"/>
    <w:rsid w:val="006C1F49"/>
    <w:rsid w:val="006C2ED8"/>
    <w:rsid w:val="006C66B9"/>
    <w:rsid w:val="006C7965"/>
    <w:rsid w:val="006D168B"/>
    <w:rsid w:val="006D1AC2"/>
    <w:rsid w:val="006D4D8F"/>
    <w:rsid w:val="006E03FC"/>
    <w:rsid w:val="006E16CF"/>
    <w:rsid w:val="006E5B0F"/>
    <w:rsid w:val="006E7856"/>
    <w:rsid w:val="006F0BCC"/>
    <w:rsid w:val="006F2BBD"/>
    <w:rsid w:val="006F79A2"/>
    <w:rsid w:val="006F7D9D"/>
    <w:rsid w:val="0070156F"/>
    <w:rsid w:val="0070238B"/>
    <w:rsid w:val="00712D55"/>
    <w:rsid w:val="007138DD"/>
    <w:rsid w:val="0071712C"/>
    <w:rsid w:val="0072178C"/>
    <w:rsid w:val="007240B0"/>
    <w:rsid w:val="00725147"/>
    <w:rsid w:val="00725E3C"/>
    <w:rsid w:val="007261AF"/>
    <w:rsid w:val="007307C6"/>
    <w:rsid w:val="007336BC"/>
    <w:rsid w:val="00733BD2"/>
    <w:rsid w:val="00733EDA"/>
    <w:rsid w:val="00736798"/>
    <w:rsid w:val="00740EFE"/>
    <w:rsid w:val="0074234C"/>
    <w:rsid w:val="00743743"/>
    <w:rsid w:val="00744831"/>
    <w:rsid w:val="00746DAD"/>
    <w:rsid w:val="0075009C"/>
    <w:rsid w:val="00751125"/>
    <w:rsid w:val="00754E5E"/>
    <w:rsid w:val="00756810"/>
    <w:rsid w:val="0075726B"/>
    <w:rsid w:val="007572E9"/>
    <w:rsid w:val="00764CEC"/>
    <w:rsid w:val="00764E2B"/>
    <w:rsid w:val="0076649B"/>
    <w:rsid w:val="007672A0"/>
    <w:rsid w:val="00767541"/>
    <w:rsid w:val="00774E8D"/>
    <w:rsid w:val="00775822"/>
    <w:rsid w:val="007803F3"/>
    <w:rsid w:val="0078285E"/>
    <w:rsid w:val="007852B1"/>
    <w:rsid w:val="00787858"/>
    <w:rsid w:val="007941BE"/>
    <w:rsid w:val="007957FE"/>
    <w:rsid w:val="00797F99"/>
    <w:rsid w:val="007A2F2A"/>
    <w:rsid w:val="007A310D"/>
    <w:rsid w:val="007A411A"/>
    <w:rsid w:val="007A42ED"/>
    <w:rsid w:val="007A4424"/>
    <w:rsid w:val="007A4632"/>
    <w:rsid w:val="007A66BC"/>
    <w:rsid w:val="007B013E"/>
    <w:rsid w:val="007B4DDF"/>
    <w:rsid w:val="007B57EA"/>
    <w:rsid w:val="007B69C3"/>
    <w:rsid w:val="007C0242"/>
    <w:rsid w:val="007C449A"/>
    <w:rsid w:val="007C45C3"/>
    <w:rsid w:val="007C5B63"/>
    <w:rsid w:val="007D0364"/>
    <w:rsid w:val="007D1A1D"/>
    <w:rsid w:val="007D1C3B"/>
    <w:rsid w:val="007D4735"/>
    <w:rsid w:val="007D6E69"/>
    <w:rsid w:val="007D6F68"/>
    <w:rsid w:val="007D7033"/>
    <w:rsid w:val="007E240C"/>
    <w:rsid w:val="007E26E8"/>
    <w:rsid w:val="007E3A1D"/>
    <w:rsid w:val="007E5A03"/>
    <w:rsid w:val="007F203C"/>
    <w:rsid w:val="007F20E2"/>
    <w:rsid w:val="007F4DDF"/>
    <w:rsid w:val="007F52AC"/>
    <w:rsid w:val="007F5EA0"/>
    <w:rsid w:val="007F7F4A"/>
    <w:rsid w:val="00800472"/>
    <w:rsid w:val="00801D72"/>
    <w:rsid w:val="00803919"/>
    <w:rsid w:val="00804822"/>
    <w:rsid w:val="008076CE"/>
    <w:rsid w:val="0081457C"/>
    <w:rsid w:val="00816CD3"/>
    <w:rsid w:val="0082098F"/>
    <w:rsid w:val="00830F77"/>
    <w:rsid w:val="008314DD"/>
    <w:rsid w:val="00833A13"/>
    <w:rsid w:val="00833F2E"/>
    <w:rsid w:val="00836260"/>
    <w:rsid w:val="00836960"/>
    <w:rsid w:val="008405FB"/>
    <w:rsid w:val="00840C8C"/>
    <w:rsid w:val="00844E15"/>
    <w:rsid w:val="008456C2"/>
    <w:rsid w:val="00847065"/>
    <w:rsid w:val="008525F2"/>
    <w:rsid w:val="008531C5"/>
    <w:rsid w:val="00853E52"/>
    <w:rsid w:val="00853FC2"/>
    <w:rsid w:val="008568B1"/>
    <w:rsid w:val="008569AF"/>
    <w:rsid w:val="00857B0C"/>
    <w:rsid w:val="00862145"/>
    <w:rsid w:val="0086702A"/>
    <w:rsid w:val="00867A36"/>
    <w:rsid w:val="008709C4"/>
    <w:rsid w:val="00870F8C"/>
    <w:rsid w:val="00871F4C"/>
    <w:rsid w:val="008812EE"/>
    <w:rsid w:val="008845DB"/>
    <w:rsid w:val="008847B8"/>
    <w:rsid w:val="00887C36"/>
    <w:rsid w:val="00890BE2"/>
    <w:rsid w:val="00896744"/>
    <w:rsid w:val="008A2E01"/>
    <w:rsid w:val="008A36B6"/>
    <w:rsid w:val="008B0623"/>
    <w:rsid w:val="008B57EA"/>
    <w:rsid w:val="008B5CDA"/>
    <w:rsid w:val="008B6144"/>
    <w:rsid w:val="008B6933"/>
    <w:rsid w:val="008C16D0"/>
    <w:rsid w:val="008C1D65"/>
    <w:rsid w:val="008C468F"/>
    <w:rsid w:val="008C5D5B"/>
    <w:rsid w:val="008C5E5C"/>
    <w:rsid w:val="008C661E"/>
    <w:rsid w:val="008C7292"/>
    <w:rsid w:val="008D650E"/>
    <w:rsid w:val="008E34C3"/>
    <w:rsid w:val="008E5E6E"/>
    <w:rsid w:val="008F0ED0"/>
    <w:rsid w:val="008F636D"/>
    <w:rsid w:val="00901A90"/>
    <w:rsid w:val="00902B7D"/>
    <w:rsid w:val="00907440"/>
    <w:rsid w:val="00912EDC"/>
    <w:rsid w:val="00915B28"/>
    <w:rsid w:val="00915F52"/>
    <w:rsid w:val="00920B30"/>
    <w:rsid w:val="00922FAF"/>
    <w:rsid w:val="009260B3"/>
    <w:rsid w:val="00926FC8"/>
    <w:rsid w:val="009273E0"/>
    <w:rsid w:val="009278DE"/>
    <w:rsid w:val="00934403"/>
    <w:rsid w:val="00935133"/>
    <w:rsid w:val="00935788"/>
    <w:rsid w:val="00936E4F"/>
    <w:rsid w:val="0093727A"/>
    <w:rsid w:val="00940A7E"/>
    <w:rsid w:val="00943AA2"/>
    <w:rsid w:val="0095420B"/>
    <w:rsid w:val="009552E6"/>
    <w:rsid w:val="009672CD"/>
    <w:rsid w:val="009674E8"/>
    <w:rsid w:val="00972147"/>
    <w:rsid w:val="009773BB"/>
    <w:rsid w:val="0097778F"/>
    <w:rsid w:val="00982027"/>
    <w:rsid w:val="009847E1"/>
    <w:rsid w:val="00991E9A"/>
    <w:rsid w:val="009922B9"/>
    <w:rsid w:val="00994E2C"/>
    <w:rsid w:val="009A16A6"/>
    <w:rsid w:val="009A3E8B"/>
    <w:rsid w:val="009A5876"/>
    <w:rsid w:val="009A6765"/>
    <w:rsid w:val="009B0858"/>
    <w:rsid w:val="009B1838"/>
    <w:rsid w:val="009B2544"/>
    <w:rsid w:val="009B5F57"/>
    <w:rsid w:val="009B7186"/>
    <w:rsid w:val="009B7F09"/>
    <w:rsid w:val="009C2779"/>
    <w:rsid w:val="009C5C01"/>
    <w:rsid w:val="009C796C"/>
    <w:rsid w:val="009D0E02"/>
    <w:rsid w:val="009D1B59"/>
    <w:rsid w:val="009D2B23"/>
    <w:rsid w:val="009D35CF"/>
    <w:rsid w:val="009D42A3"/>
    <w:rsid w:val="009D52F0"/>
    <w:rsid w:val="009D7F3A"/>
    <w:rsid w:val="009E0295"/>
    <w:rsid w:val="009E50D2"/>
    <w:rsid w:val="009F1984"/>
    <w:rsid w:val="009F2EA3"/>
    <w:rsid w:val="009F2F31"/>
    <w:rsid w:val="009F35BB"/>
    <w:rsid w:val="009F4404"/>
    <w:rsid w:val="00A01C13"/>
    <w:rsid w:val="00A06005"/>
    <w:rsid w:val="00A0600A"/>
    <w:rsid w:val="00A0693B"/>
    <w:rsid w:val="00A121E8"/>
    <w:rsid w:val="00A13863"/>
    <w:rsid w:val="00A1564E"/>
    <w:rsid w:val="00A20EBB"/>
    <w:rsid w:val="00A22B8C"/>
    <w:rsid w:val="00A23DB2"/>
    <w:rsid w:val="00A2569A"/>
    <w:rsid w:val="00A26069"/>
    <w:rsid w:val="00A273DA"/>
    <w:rsid w:val="00A279AE"/>
    <w:rsid w:val="00A31B78"/>
    <w:rsid w:val="00A3484B"/>
    <w:rsid w:val="00A41C75"/>
    <w:rsid w:val="00A4352B"/>
    <w:rsid w:val="00A509A5"/>
    <w:rsid w:val="00A52870"/>
    <w:rsid w:val="00A528F8"/>
    <w:rsid w:val="00A55291"/>
    <w:rsid w:val="00A56D70"/>
    <w:rsid w:val="00A56E0A"/>
    <w:rsid w:val="00A57711"/>
    <w:rsid w:val="00A637DD"/>
    <w:rsid w:val="00A65116"/>
    <w:rsid w:val="00A65626"/>
    <w:rsid w:val="00A66478"/>
    <w:rsid w:val="00A71808"/>
    <w:rsid w:val="00A729FF"/>
    <w:rsid w:val="00A843D2"/>
    <w:rsid w:val="00A875BE"/>
    <w:rsid w:val="00A91C16"/>
    <w:rsid w:val="00A92CDB"/>
    <w:rsid w:val="00AA05C6"/>
    <w:rsid w:val="00AA0BBF"/>
    <w:rsid w:val="00AA14D0"/>
    <w:rsid w:val="00AA1503"/>
    <w:rsid w:val="00AA7612"/>
    <w:rsid w:val="00AA7667"/>
    <w:rsid w:val="00AB1F6E"/>
    <w:rsid w:val="00AB5470"/>
    <w:rsid w:val="00AB5799"/>
    <w:rsid w:val="00AC239F"/>
    <w:rsid w:val="00AC433B"/>
    <w:rsid w:val="00AC5FD5"/>
    <w:rsid w:val="00AC6381"/>
    <w:rsid w:val="00AC64CD"/>
    <w:rsid w:val="00AC71A5"/>
    <w:rsid w:val="00AD06CC"/>
    <w:rsid w:val="00AD1590"/>
    <w:rsid w:val="00AD496B"/>
    <w:rsid w:val="00AD7EC1"/>
    <w:rsid w:val="00AE609B"/>
    <w:rsid w:val="00AF11D0"/>
    <w:rsid w:val="00AF152E"/>
    <w:rsid w:val="00AF3817"/>
    <w:rsid w:val="00AF5CCA"/>
    <w:rsid w:val="00AF7D8A"/>
    <w:rsid w:val="00B008F0"/>
    <w:rsid w:val="00B03FC2"/>
    <w:rsid w:val="00B04914"/>
    <w:rsid w:val="00B057F4"/>
    <w:rsid w:val="00B0625E"/>
    <w:rsid w:val="00B1272C"/>
    <w:rsid w:val="00B1419A"/>
    <w:rsid w:val="00B14981"/>
    <w:rsid w:val="00B23A88"/>
    <w:rsid w:val="00B25F6C"/>
    <w:rsid w:val="00B27F45"/>
    <w:rsid w:val="00B30D60"/>
    <w:rsid w:val="00B371EF"/>
    <w:rsid w:val="00B41E43"/>
    <w:rsid w:val="00B42D13"/>
    <w:rsid w:val="00B4392E"/>
    <w:rsid w:val="00B46852"/>
    <w:rsid w:val="00B47011"/>
    <w:rsid w:val="00B47338"/>
    <w:rsid w:val="00B47F5E"/>
    <w:rsid w:val="00B52241"/>
    <w:rsid w:val="00B53BDD"/>
    <w:rsid w:val="00B57572"/>
    <w:rsid w:val="00B62E33"/>
    <w:rsid w:val="00B65842"/>
    <w:rsid w:val="00B67699"/>
    <w:rsid w:val="00B717B2"/>
    <w:rsid w:val="00B72749"/>
    <w:rsid w:val="00B73589"/>
    <w:rsid w:val="00B803BC"/>
    <w:rsid w:val="00B80E07"/>
    <w:rsid w:val="00B82ED6"/>
    <w:rsid w:val="00B836C9"/>
    <w:rsid w:val="00B83E4F"/>
    <w:rsid w:val="00B95558"/>
    <w:rsid w:val="00B95602"/>
    <w:rsid w:val="00B959D0"/>
    <w:rsid w:val="00BA124A"/>
    <w:rsid w:val="00BA71E9"/>
    <w:rsid w:val="00BB0FB9"/>
    <w:rsid w:val="00BB1A49"/>
    <w:rsid w:val="00BB1C90"/>
    <w:rsid w:val="00BB4A95"/>
    <w:rsid w:val="00BB5C46"/>
    <w:rsid w:val="00BC60C3"/>
    <w:rsid w:val="00BD0310"/>
    <w:rsid w:val="00BD1192"/>
    <w:rsid w:val="00BD1369"/>
    <w:rsid w:val="00BD1B7F"/>
    <w:rsid w:val="00BD397A"/>
    <w:rsid w:val="00BD3F3E"/>
    <w:rsid w:val="00BE3E93"/>
    <w:rsid w:val="00BE5AB9"/>
    <w:rsid w:val="00BF0729"/>
    <w:rsid w:val="00BF54D2"/>
    <w:rsid w:val="00BF5F73"/>
    <w:rsid w:val="00BF7D26"/>
    <w:rsid w:val="00C03936"/>
    <w:rsid w:val="00C05743"/>
    <w:rsid w:val="00C06737"/>
    <w:rsid w:val="00C11147"/>
    <w:rsid w:val="00C22141"/>
    <w:rsid w:val="00C25E44"/>
    <w:rsid w:val="00C26B48"/>
    <w:rsid w:val="00C26C0B"/>
    <w:rsid w:val="00C30249"/>
    <w:rsid w:val="00C31D27"/>
    <w:rsid w:val="00C339B2"/>
    <w:rsid w:val="00C342DE"/>
    <w:rsid w:val="00C41179"/>
    <w:rsid w:val="00C465EB"/>
    <w:rsid w:val="00C47739"/>
    <w:rsid w:val="00C53411"/>
    <w:rsid w:val="00C535F6"/>
    <w:rsid w:val="00C553BF"/>
    <w:rsid w:val="00C56764"/>
    <w:rsid w:val="00C612CB"/>
    <w:rsid w:val="00C67060"/>
    <w:rsid w:val="00C679B0"/>
    <w:rsid w:val="00C70617"/>
    <w:rsid w:val="00C74035"/>
    <w:rsid w:val="00C76E85"/>
    <w:rsid w:val="00C774A9"/>
    <w:rsid w:val="00C82E86"/>
    <w:rsid w:val="00C86858"/>
    <w:rsid w:val="00C905BA"/>
    <w:rsid w:val="00CA2B00"/>
    <w:rsid w:val="00CB01F4"/>
    <w:rsid w:val="00CB10DC"/>
    <w:rsid w:val="00CB27F5"/>
    <w:rsid w:val="00CB6AA5"/>
    <w:rsid w:val="00CC192C"/>
    <w:rsid w:val="00CC22DA"/>
    <w:rsid w:val="00CC35B6"/>
    <w:rsid w:val="00CD2B6E"/>
    <w:rsid w:val="00CD499E"/>
    <w:rsid w:val="00CD52B9"/>
    <w:rsid w:val="00CD54D8"/>
    <w:rsid w:val="00CD5C83"/>
    <w:rsid w:val="00CD6057"/>
    <w:rsid w:val="00CD6AB4"/>
    <w:rsid w:val="00CE13B1"/>
    <w:rsid w:val="00CE367A"/>
    <w:rsid w:val="00CF329D"/>
    <w:rsid w:val="00CF3762"/>
    <w:rsid w:val="00CF480A"/>
    <w:rsid w:val="00CF528C"/>
    <w:rsid w:val="00D00388"/>
    <w:rsid w:val="00D03F7E"/>
    <w:rsid w:val="00D0495D"/>
    <w:rsid w:val="00D0561F"/>
    <w:rsid w:val="00D064E2"/>
    <w:rsid w:val="00D137E9"/>
    <w:rsid w:val="00D1546D"/>
    <w:rsid w:val="00D158B2"/>
    <w:rsid w:val="00D2007B"/>
    <w:rsid w:val="00D217EA"/>
    <w:rsid w:val="00D229B5"/>
    <w:rsid w:val="00D22DF1"/>
    <w:rsid w:val="00D32D69"/>
    <w:rsid w:val="00D33099"/>
    <w:rsid w:val="00D33449"/>
    <w:rsid w:val="00D40503"/>
    <w:rsid w:val="00D40AE0"/>
    <w:rsid w:val="00D41B06"/>
    <w:rsid w:val="00D43D99"/>
    <w:rsid w:val="00D55BE1"/>
    <w:rsid w:val="00D64343"/>
    <w:rsid w:val="00D65420"/>
    <w:rsid w:val="00D66B95"/>
    <w:rsid w:val="00D672DC"/>
    <w:rsid w:val="00D6784F"/>
    <w:rsid w:val="00D83F99"/>
    <w:rsid w:val="00D91ADB"/>
    <w:rsid w:val="00D95D0F"/>
    <w:rsid w:val="00D95ED1"/>
    <w:rsid w:val="00DA255A"/>
    <w:rsid w:val="00DB2FC9"/>
    <w:rsid w:val="00DB48ED"/>
    <w:rsid w:val="00DB4C0E"/>
    <w:rsid w:val="00DB5E90"/>
    <w:rsid w:val="00DB63C7"/>
    <w:rsid w:val="00DC4567"/>
    <w:rsid w:val="00DC6F70"/>
    <w:rsid w:val="00DD02B8"/>
    <w:rsid w:val="00DE2D67"/>
    <w:rsid w:val="00DE34BB"/>
    <w:rsid w:val="00DE36E1"/>
    <w:rsid w:val="00DE5968"/>
    <w:rsid w:val="00DE73DA"/>
    <w:rsid w:val="00DF0538"/>
    <w:rsid w:val="00DF0E8E"/>
    <w:rsid w:val="00DF7AC7"/>
    <w:rsid w:val="00E1543C"/>
    <w:rsid w:val="00E15A56"/>
    <w:rsid w:val="00E2001A"/>
    <w:rsid w:val="00E2227C"/>
    <w:rsid w:val="00E23EE8"/>
    <w:rsid w:val="00E27EA0"/>
    <w:rsid w:val="00E3082A"/>
    <w:rsid w:val="00E31166"/>
    <w:rsid w:val="00E322D4"/>
    <w:rsid w:val="00E34D78"/>
    <w:rsid w:val="00E34DB1"/>
    <w:rsid w:val="00E356B1"/>
    <w:rsid w:val="00E35C4A"/>
    <w:rsid w:val="00E36F27"/>
    <w:rsid w:val="00E44265"/>
    <w:rsid w:val="00E50749"/>
    <w:rsid w:val="00E54422"/>
    <w:rsid w:val="00E62DD5"/>
    <w:rsid w:val="00E639FC"/>
    <w:rsid w:val="00E65859"/>
    <w:rsid w:val="00E659A9"/>
    <w:rsid w:val="00E749EE"/>
    <w:rsid w:val="00E77628"/>
    <w:rsid w:val="00E77EDF"/>
    <w:rsid w:val="00E8105E"/>
    <w:rsid w:val="00E839A8"/>
    <w:rsid w:val="00E84446"/>
    <w:rsid w:val="00E85FB5"/>
    <w:rsid w:val="00E94CD8"/>
    <w:rsid w:val="00EA25CB"/>
    <w:rsid w:val="00EA3DA9"/>
    <w:rsid w:val="00EA4528"/>
    <w:rsid w:val="00EB1027"/>
    <w:rsid w:val="00EB4EE4"/>
    <w:rsid w:val="00EB5E3D"/>
    <w:rsid w:val="00EB6987"/>
    <w:rsid w:val="00EC147A"/>
    <w:rsid w:val="00EC1BA9"/>
    <w:rsid w:val="00EC212E"/>
    <w:rsid w:val="00EC2F7F"/>
    <w:rsid w:val="00EC3FD3"/>
    <w:rsid w:val="00EC523E"/>
    <w:rsid w:val="00EC53A9"/>
    <w:rsid w:val="00EC715B"/>
    <w:rsid w:val="00ED05D5"/>
    <w:rsid w:val="00ED4BA6"/>
    <w:rsid w:val="00ED7D89"/>
    <w:rsid w:val="00EE133C"/>
    <w:rsid w:val="00EE1B59"/>
    <w:rsid w:val="00EE208F"/>
    <w:rsid w:val="00EE2D8C"/>
    <w:rsid w:val="00EE3514"/>
    <w:rsid w:val="00EE3C5F"/>
    <w:rsid w:val="00EE4012"/>
    <w:rsid w:val="00EE4680"/>
    <w:rsid w:val="00EF05A4"/>
    <w:rsid w:val="00EF2B27"/>
    <w:rsid w:val="00EF39BA"/>
    <w:rsid w:val="00EF4256"/>
    <w:rsid w:val="00EF61B2"/>
    <w:rsid w:val="00F13202"/>
    <w:rsid w:val="00F15870"/>
    <w:rsid w:val="00F165B8"/>
    <w:rsid w:val="00F1787C"/>
    <w:rsid w:val="00F23C99"/>
    <w:rsid w:val="00F3097F"/>
    <w:rsid w:val="00F31324"/>
    <w:rsid w:val="00F3253F"/>
    <w:rsid w:val="00F342D7"/>
    <w:rsid w:val="00F359C5"/>
    <w:rsid w:val="00F37F0E"/>
    <w:rsid w:val="00F43C27"/>
    <w:rsid w:val="00F43D4F"/>
    <w:rsid w:val="00F501A2"/>
    <w:rsid w:val="00F5284D"/>
    <w:rsid w:val="00F57ACC"/>
    <w:rsid w:val="00F62B1F"/>
    <w:rsid w:val="00F6552B"/>
    <w:rsid w:val="00F67181"/>
    <w:rsid w:val="00F7346B"/>
    <w:rsid w:val="00F73B4C"/>
    <w:rsid w:val="00F76C7C"/>
    <w:rsid w:val="00F77F60"/>
    <w:rsid w:val="00F81393"/>
    <w:rsid w:val="00F83075"/>
    <w:rsid w:val="00F86E35"/>
    <w:rsid w:val="00F90C4D"/>
    <w:rsid w:val="00F90E21"/>
    <w:rsid w:val="00F953EB"/>
    <w:rsid w:val="00F97625"/>
    <w:rsid w:val="00FA280D"/>
    <w:rsid w:val="00FA2F8A"/>
    <w:rsid w:val="00FA60DC"/>
    <w:rsid w:val="00FA6298"/>
    <w:rsid w:val="00FB0314"/>
    <w:rsid w:val="00FB1CCF"/>
    <w:rsid w:val="00FB2A9D"/>
    <w:rsid w:val="00FB3801"/>
    <w:rsid w:val="00FB6521"/>
    <w:rsid w:val="00FB6BF4"/>
    <w:rsid w:val="00FC1C63"/>
    <w:rsid w:val="00FC1CAB"/>
    <w:rsid w:val="00FC350A"/>
    <w:rsid w:val="00FC68BA"/>
    <w:rsid w:val="00FD0CAF"/>
    <w:rsid w:val="00FD179A"/>
    <w:rsid w:val="00FD46DC"/>
    <w:rsid w:val="00FD6DC2"/>
    <w:rsid w:val="00FD752E"/>
    <w:rsid w:val="00FD7E2B"/>
    <w:rsid w:val="00FE299A"/>
    <w:rsid w:val="00FE6857"/>
    <w:rsid w:val="00FF3F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37D60"/>
  <w15:chartTrackingRefBased/>
  <w15:docId w15:val="{3FFF8545-F241-403F-A296-87771959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90A"/>
    <w:pPr>
      <w:spacing w:after="240"/>
    </w:pPr>
    <w:rPr>
      <w:rFonts w:ascii="Verdana" w:hAnsi="Verdana"/>
      <w:sz w:val="24"/>
      <w:szCs w:val="24"/>
      <w:lang w:eastAsia="en-US"/>
    </w:rPr>
  </w:style>
  <w:style w:type="paragraph" w:styleId="Heading1">
    <w:name w:val="heading 1"/>
    <w:basedOn w:val="Normal"/>
    <w:next w:val="Numbers"/>
    <w:link w:val="Heading1Char"/>
    <w:qFormat/>
    <w:rsid w:val="006F79A2"/>
    <w:pPr>
      <w:keepNext/>
      <w:pBdr>
        <w:bottom w:val="single" w:sz="4" w:space="12" w:color="auto"/>
      </w:pBdr>
      <w:spacing w:before="200" w:after="60"/>
      <w:outlineLvl w:val="0"/>
    </w:pPr>
    <w:rPr>
      <w:rFonts w:cs="Arial"/>
      <w:b/>
      <w:bCs/>
      <w:kern w:val="32"/>
      <w:szCs w:val="32"/>
    </w:rPr>
  </w:style>
  <w:style w:type="paragraph" w:styleId="Heading2">
    <w:name w:val="heading 2"/>
    <w:basedOn w:val="Normal"/>
    <w:next w:val="Numbers"/>
    <w:link w:val="Heading2Char"/>
    <w:autoRedefine/>
    <w:qFormat/>
    <w:rsid w:val="006F79A2"/>
    <w:pPr>
      <w:outlineLvl w:val="1"/>
    </w:pPr>
    <w:rPr>
      <w:b/>
    </w:rPr>
  </w:style>
  <w:style w:type="paragraph" w:styleId="Heading3">
    <w:name w:val="heading 3"/>
    <w:basedOn w:val="Normal"/>
    <w:next w:val="Normal"/>
    <w:link w:val="Heading3Char"/>
    <w:qFormat/>
    <w:rsid w:val="00804822"/>
    <w:pPr>
      <w:keepNext/>
      <w:spacing w:before="240" w:after="60"/>
      <w:jc w:val="cente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1F49"/>
    <w:rPr>
      <w:rFonts w:ascii="Verdana" w:hAnsi="Verdana" w:cs="Arial"/>
      <w:b/>
      <w:bCs/>
      <w:kern w:val="32"/>
      <w:sz w:val="24"/>
      <w:szCs w:val="32"/>
      <w:lang w:eastAsia="en-US"/>
    </w:rPr>
  </w:style>
  <w:style w:type="character" w:customStyle="1" w:styleId="Heading2Char">
    <w:name w:val="Heading 2 Char"/>
    <w:link w:val="Heading2"/>
    <w:locked/>
    <w:rsid w:val="006C1F49"/>
    <w:rPr>
      <w:rFonts w:ascii="Verdana" w:hAnsi="Verdana"/>
      <w:b/>
      <w:sz w:val="24"/>
      <w:szCs w:val="24"/>
      <w:lang w:eastAsia="en-US"/>
    </w:rPr>
  </w:style>
  <w:style w:type="character" w:customStyle="1" w:styleId="Heading3Char">
    <w:name w:val="Heading 3 Char"/>
    <w:link w:val="Heading3"/>
    <w:locked/>
    <w:rsid w:val="00804822"/>
    <w:rPr>
      <w:rFonts w:ascii="Verdana" w:hAnsi="Verdana" w:cs="Arial"/>
      <w:b/>
      <w:bCs/>
      <w:sz w:val="26"/>
      <w:szCs w:val="26"/>
      <w:lang w:val="en-GB" w:eastAsia="en-US" w:bidi="ar-SA"/>
    </w:rPr>
  </w:style>
  <w:style w:type="character" w:styleId="Hyperlink">
    <w:name w:val="Hyperlink"/>
    <w:rsid w:val="00330635"/>
    <w:rPr>
      <w:rFonts w:cs="Times New Roman"/>
      <w:color w:val="0000FF"/>
      <w:u w:val="single"/>
    </w:rPr>
  </w:style>
  <w:style w:type="paragraph" w:styleId="Header">
    <w:name w:val="header"/>
    <w:basedOn w:val="Normal"/>
    <w:link w:val="HeaderChar"/>
    <w:rsid w:val="00330635"/>
    <w:pPr>
      <w:tabs>
        <w:tab w:val="center" w:pos="4153"/>
        <w:tab w:val="right" w:pos="8306"/>
      </w:tabs>
    </w:pPr>
  </w:style>
  <w:style w:type="character" w:customStyle="1" w:styleId="HeaderChar">
    <w:name w:val="Header Char"/>
    <w:link w:val="Header"/>
    <w:semiHidden/>
    <w:locked/>
    <w:rPr>
      <w:rFonts w:ascii="Verdana" w:hAnsi="Verdana" w:cs="Times New Roman"/>
      <w:sz w:val="24"/>
      <w:szCs w:val="24"/>
      <w:lang w:val="en-GB" w:eastAsia="x-none"/>
    </w:rPr>
  </w:style>
  <w:style w:type="paragraph" w:styleId="Footer">
    <w:name w:val="footer"/>
    <w:basedOn w:val="Normal"/>
    <w:link w:val="FooterChar"/>
    <w:rsid w:val="00330635"/>
    <w:pPr>
      <w:tabs>
        <w:tab w:val="center" w:pos="4153"/>
        <w:tab w:val="right" w:pos="8306"/>
      </w:tabs>
    </w:pPr>
  </w:style>
  <w:style w:type="character" w:customStyle="1" w:styleId="FooterChar">
    <w:name w:val="Footer Char"/>
    <w:link w:val="Footer"/>
    <w:semiHidden/>
    <w:locked/>
    <w:rPr>
      <w:rFonts w:ascii="Verdana" w:hAnsi="Verdana" w:cs="Times New Roman"/>
      <w:sz w:val="24"/>
      <w:szCs w:val="24"/>
      <w:lang w:val="en-GB" w:eastAsia="x-none"/>
    </w:rPr>
  </w:style>
  <w:style w:type="character" w:styleId="PageNumber">
    <w:name w:val="page number"/>
    <w:rsid w:val="00330635"/>
    <w:rPr>
      <w:rFonts w:cs="Times New Roman"/>
    </w:rPr>
  </w:style>
  <w:style w:type="character" w:customStyle="1" w:styleId="AnnotationChar">
    <w:name w:val="Annotation Char"/>
    <w:link w:val="Annotation"/>
    <w:locked/>
    <w:rsid w:val="0052433E"/>
    <w:rPr>
      <w:rFonts w:ascii="Verdana" w:hAnsi="Verdana" w:cs="Times New Roman"/>
      <w:i/>
      <w:color w:val="FF0000"/>
      <w:sz w:val="24"/>
      <w:szCs w:val="24"/>
      <w:lang w:val="en-GB" w:eastAsia="en-US" w:bidi="ar-SA"/>
    </w:rPr>
  </w:style>
  <w:style w:type="paragraph" w:customStyle="1" w:styleId="Subsubsectionheading">
    <w:name w:val="Sub sub section heading"/>
    <w:basedOn w:val="Normal"/>
    <w:next w:val="Normal"/>
    <w:rsid w:val="00B80E07"/>
    <w:pPr>
      <w:ind w:left="284"/>
    </w:pPr>
    <w:rPr>
      <w:b/>
    </w:rPr>
  </w:style>
  <w:style w:type="paragraph" w:customStyle="1" w:styleId="Numbers">
    <w:name w:val="Numbers"/>
    <w:basedOn w:val="Normal"/>
    <w:link w:val="NumbersCharChar"/>
    <w:rsid w:val="00690B0E"/>
    <w:pPr>
      <w:numPr>
        <w:numId w:val="1"/>
      </w:numPr>
    </w:pPr>
    <w:rPr>
      <w:rFonts w:cs="Arial"/>
    </w:rPr>
  </w:style>
  <w:style w:type="paragraph" w:customStyle="1" w:styleId="Italicisedquote">
    <w:name w:val="Italicised quote"/>
    <w:basedOn w:val="Normal"/>
    <w:next w:val="Numbers"/>
    <w:rsid w:val="00896744"/>
    <w:pPr>
      <w:ind w:left="851" w:right="284"/>
    </w:pPr>
    <w:rPr>
      <w:i/>
    </w:rPr>
  </w:style>
  <w:style w:type="paragraph" w:customStyle="1" w:styleId="Unorderedlist">
    <w:name w:val="Unordered list"/>
    <w:basedOn w:val="Normal"/>
    <w:rsid w:val="00896744"/>
    <w:pPr>
      <w:numPr>
        <w:numId w:val="2"/>
      </w:numPr>
    </w:pPr>
  </w:style>
  <w:style w:type="paragraph" w:customStyle="1" w:styleId="Address">
    <w:name w:val="Address"/>
    <w:basedOn w:val="Normal"/>
    <w:next w:val="Normal"/>
    <w:link w:val="AddressChar"/>
    <w:rsid w:val="00896744"/>
    <w:pPr>
      <w:spacing w:after="60"/>
    </w:pPr>
    <w:rPr>
      <w:rFonts w:cs="Arial"/>
      <w:b/>
    </w:rPr>
  </w:style>
  <w:style w:type="paragraph" w:customStyle="1" w:styleId="Annotation">
    <w:name w:val="Annotation"/>
    <w:basedOn w:val="Normal"/>
    <w:next w:val="Normal"/>
    <w:link w:val="AnnotationChar"/>
    <w:rsid w:val="00896744"/>
    <w:pPr>
      <w:jc w:val="center"/>
    </w:pPr>
    <w:rPr>
      <w:i/>
      <w:color w:val="FF0000"/>
    </w:rPr>
  </w:style>
  <w:style w:type="paragraph" w:customStyle="1" w:styleId="Tribunaladdress">
    <w:name w:val="Tribunal address"/>
    <w:basedOn w:val="Normal"/>
    <w:rsid w:val="00252DA3"/>
    <w:pPr>
      <w:spacing w:after="60"/>
      <w:ind w:left="1134"/>
    </w:pPr>
  </w:style>
  <w:style w:type="character" w:customStyle="1" w:styleId="AddressChar">
    <w:name w:val="Address Char"/>
    <w:link w:val="Address"/>
    <w:locked/>
    <w:rsid w:val="00A71808"/>
    <w:rPr>
      <w:rFonts w:ascii="Verdana" w:hAnsi="Verdana" w:cs="Arial"/>
      <w:b/>
      <w:sz w:val="24"/>
      <w:szCs w:val="24"/>
      <w:lang w:val="en-GB" w:eastAsia="en-US" w:bidi="ar-SA"/>
    </w:rPr>
  </w:style>
  <w:style w:type="character" w:customStyle="1" w:styleId="NumbersCharChar">
    <w:name w:val="Numbers Char Char"/>
    <w:link w:val="Numbers"/>
    <w:locked/>
    <w:rsid w:val="00A71808"/>
    <w:rPr>
      <w:rFonts w:ascii="Verdana" w:hAnsi="Verdana" w:cs="Arial"/>
      <w:sz w:val="24"/>
      <w:szCs w:val="24"/>
      <w:lang w:val="en-GB" w:eastAsia="en-US" w:bidi="ar-SA"/>
    </w:rPr>
  </w:style>
  <w:style w:type="table" w:styleId="TableGrid">
    <w:name w:val="Table Grid"/>
    <w:basedOn w:val="TableNormal"/>
    <w:rsid w:val="002A65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paragraphCharChar">
    <w:name w:val="Numbered paragraph Char Char"/>
    <w:link w:val="Numberedparagraph"/>
    <w:locked/>
    <w:rsid w:val="00804822"/>
    <w:rPr>
      <w:rFonts w:ascii="Verdana" w:hAnsi="Verdana" w:cs="Arial"/>
      <w:sz w:val="24"/>
      <w:szCs w:val="24"/>
      <w:lang w:val="en-GB" w:eastAsia="en-US" w:bidi="ar-SA"/>
    </w:rPr>
  </w:style>
  <w:style w:type="paragraph" w:customStyle="1" w:styleId="Numberedparagraph">
    <w:name w:val="Numbered paragraph"/>
    <w:basedOn w:val="Normal"/>
    <w:link w:val="NumberedparagraphCharChar"/>
    <w:rsid w:val="00804822"/>
    <w:pPr>
      <w:numPr>
        <w:numId w:val="11"/>
      </w:numPr>
    </w:pPr>
    <w:rPr>
      <w:rFonts w:cs="Arial"/>
    </w:rPr>
  </w:style>
  <w:style w:type="paragraph" w:customStyle="1" w:styleId="Default">
    <w:name w:val="Default"/>
    <w:rsid w:val="00E659A9"/>
    <w:pPr>
      <w:autoSpaceDE w:val="0"/>
      <w:autoSpaceDN w:val="0"/>
      <w:adjustRightInd w:val="0"/>
    </w:pPr>
    <w:rPr>
      <w:rFonts w:ascii="Verdana" w:hAnsi="Verdana" w:cs="Verdana"/>
      <w:color w:val="000000"/>
      <w:sz w:val="24"/>
      <w:szCs w:val="24"/>
    </w:rPr>
  </w:style>
  <w:style w:type="paragraph" w:customStyle="1" w:styleId="parastart">
    <w:name w:val="para start"/>
    <w:basedOn w:val="Subsubsectionheading"/>
    <w:rsid w:val="00804822"/>
    <w:rPr>
      <w:b w:val="0"/>
    </w:rPr>
  </w:style>
  <w:style w:type="character" w:customStyle="1" w:styleId="AlphabeticallylistCharChar">
    <w:name w:val="Alphabetically list Char Char"/>
    <w:link w:val="Alphabeticallylist"/>
    <w:locked/>
    <w:rsid w:val="00804822"/>
    <w:rPr>
      <w:rFonts w:ascii="Verdana" w:hAnsi="Verdana" w:cs="Arial"/>
      <w:sz w:val="24"/>
      <w:szCs w:val="24"/>
      <w:lang w:val="en-GB" w:eastAsia="en-US" w:bidi="ar-SA"/>
    </w:rPr>
  </w:style>
  <w:style w:type="paragraph" w:customStyle="1" w:styleId="Alphabeticallylist">
    <w:name w:val="Alphabetically list"/>
    <w:basedOn w:val="Normal"/>
    <w:next w:val="parastart"/>
    <w:link w:val="AlphabeticallylistCharChar"/>
    <w:rsid w:val="00804822"/>
    <w:pPr>
      <w:numPr>
        <w:numId w:val="9"/>
      </w:numPr>
    </w:pPr>
    <w:rPr>
      <w:rFonts w:cs="Arial"/>
    </w:rPr>
  </w:style>
  <w:style w:type="paragraph" w:styleId="BalloonText">
    <w:name w:val="Balloon Text"/>
    <w:basedOn w:val="Normal"/>
    <w:semiHidden/>
    <w:rsid w:val="00B057F4"/>
    <w:rPr>
      <w:rFonts w:ascii="Tahoma" w:hAnsi="Tahoma" w:cs="Tahoma"/>
      <w:sz w:val="16"/>
      <w:szCs w:val="16"/>
    </w:rPr>
  </w:style>
  <w:style w:type="paragraph" w:styleId="PlainText">
    <w:name w:val="Plain Text"/>
    <w:basedOn w:val="Normal"/>
    <w:link w:val="PlainTextChar"/>
    <w:uiPriority w:val="99"/>
    <w:unhideWhenUsed/>
    <w:rsid w:val="005A38B8"/>
    <w:pPr>
      <w:spacing w:after="0"/>
    </w:pPr>
    <w:rPr>
      <w:rFonts w:eastAsia="Calibri"/>
      <w:szCs w:val="21"/>
    </w:rPr>
  </w:style>
  <w:style w:type="character" w:customStyle="1" w:styleId="PlainTextChar">
    <w:name w:val="Plain Text Char"/>
    <w:link w:val="PlainText"/>
    <w:uiPriority w:val="99"/>
    <w:rsid w:val="005A38B8"/>
    <w:rPr>
      <w:rFonts w:ascii="Verdana" w:eastAsia="Calibri" w:hAnsi="Verdana"/>
      <w:sz w:val="24"/>
      <w:szCs w:val="21"/>
      <w:lang w:eastAsia="en-US"/>
    </w:rPr>
  </w:style>
  <w:style w:type="paragraph" w:customStyle="1" w:styleId="Sectionheadingwithbookmark">
    <w:name w:val="Section heading with bookmark"/>
    <w:basedOn w:val="Heading1"/>
    <w:next w:val="Numbers"/>
    <w:autoRedefine/>
    <w:qFormat/>
    <w:rsid w:val="006C1F49"/>
    <w:pPr>
      <w:spacing w:before="480" w:after="240"/>
    </w:pPr>
  </w:style>
  <w:style w:type="paragraph" w:customStyle="1" w:styleId="Subsectionheadingwithbookmark">
    <w:name w:val="Sub section heading with bookmark"/>
    <w:basedOn w:val="Heading2"/>
    <w:next w:val="Numbers"/>
    <w:qFormat/>
    <w:rsid w:val="006C1F49"/>
    <w:pPr>
      <w:spacing w:before="240"/>
    </w:pPr>
  </w:style>
  <w:style w:type="paragraph" w:styleId="NoSpacing">
    <w:name w:val="No Spacing"/>
    <w:uiPriority w:val="1"/>
    <w:qFormat/>
    <w:rsid w:val="003713EB"/>
    <w:rPr>
      <w:rFonts w:ascii="Verdana" w:hAnsi="Verdana"/>
      <w:sz w:val="24"/>
      <w:szCs w:val="24"/>
      <w:lang w:eastAsia="en-US"/>
    </w:rPr>
  </w:style>
  <w:style w:type="paragraph" w:styleId="NormalWeb">
    <w:name w:val="Normal (Web)"/>
    <w:basedOn w:val="Normal"/>
    <w:uiPriority w:val="99"/>
    <w:unhideWhenUsed/>
    <w:rsid w:val="00C22141"/>
    <w:pPr>
      <w:spacing w:before="100" w:beforeAutospacing="1" w:after="100" w:afterAutospacing="1"/>
    </w:pPr>
    <w:rPr>
      <w:rFonts w:ascii="Times New Roman" w:hAnsi="Times New Roman"/>
      <w:lang w:eastAsia="en-GB"/>
    </w:rPr>
  </w:style>
  <w:style w:type="paragraph" w:styleId="FootnoteText">
    <w:name w:val="footnote text"/>
    <w:basedOn w:val="Normal"/>
    <w:link w:val="FootnoteTextChar"/>
    <w:rsid w:val="008709C4"/>
    <w:pPr>
      <w:spacing w:after="0"/>
    </w:pPr>
    <w:rPr>
      <w:sz w:val="20"/>
      <w:szCs w:val="20"/>
    </w:rPr>
  </w:style>
  <w:style w:type="character" w:customStyle="1" w:styleId="FootnoteTextChar">
    <w:name w:val="Footnote Text Char"/>
    <w:basedOn w:val="DefaultParagraphFont"/>
    <w:link w:val="FootnoteText"/>
    <w:rsid w:val="008709C4"/>
    <w:rPr>
      <w:rFonts w:ascii="Verdana" w:hAnsi="Verdana"/>
      <w:lang w:eastAsia="en-US"/>
    </w:rPr>
  </w:style>
  <w:style w:type="character" w:styleId="FootnoteReference">
    <w:name w:val="footnote reference"/>
    <w:basedOn w:val="DefaultParagraphFont"/>
    <w:rsid w:val="008709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3697423">
      <w:bodyDiv w:val="1"/>
      <w:marLeft w:val="0"/>
      <w:marRight w:val="0"/>
      <w:marTop w:val="0"/>
      <w:marBottom w:val="0"/>
      <w:divBdr>
        <w:top w:val="none" w:sz="0" w:space="0" w:color="auto"/>
        <w:left w:val="none" w:sz="0" w:space="0" w:color="auto"/>
        <w:bottom w:val="none" w:sz="0" w:space="0" w:color="auto"/>
        <w:right w:val="none" w:sz="0" w:space="0" w:color="auto"/>
      </w:divBdr>
    </w:div>
    <w:div w:id="1616911408">
      <w:bodyDiv w:val="1"/>
      <w:marLeft w:val="0"/>
      <w:marRight w:val="0"/>
      <w:marTop w:val="0"/>
      <w:marBottom w:val="0"/>
      <w:divBdr>
        <w:top w:val="none" w:sz="0" w:space="0" w:color="auto"/>
        <w:left w:val="none" w:sz="0" w:space="0" w:color="auto"/>
        <w:bottom w:val="none" w:sz="0" w:space="0" w:color="auto"/>
        <w:right w:val="none" w:sz="0" w:space="0" w:color="auto"/>
      </w:divBdr>
    </w:div>
    <w:div w:id="191334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rc@justic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http://www.justice.gov.uk/tribunals/general-regulatory-chamber" TargetMode="Externa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thornero\OneDrive%20-%20Information%20Commissioners%20Office\Documents\DN%20admin\Decision%20Notice%20Template%20(F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CO Document" ma:contentTypeID="0x0101003B4B409032794847972104A7041921E400F8A8C6B394AD664BB698416B12ADDB75" ma:contentTypeVersion="24" ma:contentTypeDescription="Create a new document." ma:contentTypeScope="" ma:versionID="ad44e1cc1f670db714e2e44f0dcd7e44">
  <xsd:schema xmlns:xsd="http://www.w3.org/2001/XMLSchema" xmlns:xs="http://www.w3.org/2001/XMLSchema" xmlns:p="http://schemas.microsoft.com/office/2006/metadata/properties" xmlns:ns2="af1fbcce-d283-4f16-b382-703943b655f9" xmlns:ns3="26269ea0-7af6-40f2-a7c7-e1770b029bff" targetNamespace="http://schemas.microsoft.com/office/2006/metadata/properties" ma:root="true" ma:fieldsID="be21662a4034940a2dc0269dab629f63" ns2:_="" ns3:_="">
    <xsd:import namespace="af1fbcce-d283-4f16-b382-703943b655f9"/>
    <xsd:import namespace="26269ea0-7af6-40f2-a7c7-e1770b029bff"/>
    <xsd:element name="properties">
      <xsd:complexType>
        <xsd:sequence>
          <xsd:element name="documentManagement">
            <xsd:complexType>
              <xsd:all>
                <xsd:element ref="ns2:Case_x0020_Reference" minOccurs="0"/>
                <xsd:element ref="ns2:Container_x0020_Logical_x0020_Name" minOccurs="0"/>
                <xsd:element ref="ns2:Container_x0020_ID" minOccurs="0"/>
                <xsd:element ref="ns2:Document_x0020_Record_x0020_Id" minOccurs="0"/>
                <xsd:element ref="ns2:ico360_boolean_mfd" minOccurs="0"/>
                <xsd:element ref="ns2:ico360_boolean_mfr" minOccurs="0"/>
                <xsd:element ref="ns2:ico360_option_categoryname" minOccurs="0"/>
                <xsd:element ref="ns2:ico360_option_labelname" minOccurs="0"/>
                <xsd:element ref="ns2:ico360_option_statusname" minOccurs="0"/>
                <xsd:element ref="ns2:ico360_text_displayname" minOccurs="0"/>
                <xsd:element ref="ns2:ico360_text_regardingid" minOccurs="0"/>
                <xsd:element ref="ns2:ico360_versionnumber"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bcce-d283-4f16-b382-703943b655f9" elementFormDefault="qualified">
    <xsd:import namespace="http://schemas.microsoft.com/office/2006/documentManagement/types"/>
    <xsd:import namespace="http://schemas.microsoft.com/office/infopath/2007/PartnerControls"/>
    <xsd:element name="Case_x0020_Reference" ma:index="2" nillable="true" ma:displayName="Case Reference" ma:internalName="Case_x0020_Reference">
      <xsd:simpleType>
        <xsd:restriction base="dms:Text">
          <xsd:maxLength value="255"/>
        </xsd:restriction>
      </xsd:simpleType>
    </xsd:element>
    <xsd:element name="Container_x0020_Logical_x0020_Name" ma:index="3" nillable="true" ma:displayName="Container Logical Name" ma:internalName="Container_x0020_Logical_x0020_Name">
      <xsd:simpleType>
        <xsd:restriction base="dms:Text">
          <xsd:maxLength value="255"/>
        </xsd:restriction>
      </xsd:simpleType>
    </xsd:element>
    <xsd:element name="Container_x0020_ID" ma:index="4" nillable="true" ma:displayName="Container ID" ma:internalName="Container_x0020_ID">
      <xsd:simpleType>
        <xsd:restriction base="dms:Text">
          <xsd:maxLength value="255"/>
        </xsd:restriction>
      </xsd:simpleType>
    </xsd:element>
    <xsd:element name="Document_x0020_Record_x0020_Id" ma:index="5" nillable="true" ma:displayName="Document Record Id" ma:internalName="Document_x0020_Record_x0020_Id">
      <xsd:simpleType>
        <xsd:restriction base="dms:Text">
          <xsd:maxLength value="255"/>
        </xsd:restriction>
      </xsd:simpleType>
    </xsd:element>
    <xsd:element name="ico360_boolean_mfd" ma:index="6" nillable="true" ma:displayName="ico360_boolean_mfd" ma:default="0" ma:internalName="ico360_boolean_mfd">
      <xsd:simpleType>
        <xsd:restriction base="dms:Number"/>
      </xsd:simpleType>
    </xsd:element>
    <xsd:element name="ico360_boolean_mfr" ma:index="7" nillable="true" ma:displayName="ico360_boolean_mfr" ma:default="0" ma:internalName="ico360_boolean_mfr">
      <xsd:simpleType>
        <xsd:restriction base="dms:Number"/>
      </xsd:simpleType>
    </xsd:element>
    <xsd:element name="ico360_option_categoryname" ma:index="8" nillable="true" ma:displayName="ico360_option_categoryname" ma:internalName="ico360_option_categoryname">
      <xsd:simpleType>
        <xsd:restriction base="dms:Text">
          <xsd:maxLength value="255"/>
        </xsd:restriction>
      </xsd:simpleType>
    </xsd:element>
    <xsd:element name="ico360_option_labelname" ma:index="9" nillable="true" ma:displayName="ico360_option_labelname" ma:internalName="ico360_option_labelname">
      <xsd:simpleType>
        <xsd:restriction base="dms:Text">
          <xsd:maxLength value="255"/>
        </xsd:restriction>
      </xsd:simpleType>
    </xsd:element>
    <xsd:element name="ico360_option_statusname" ma:index="10" nillable="true" ma:displayName="ico360_option_statusname" ma:internalName="ico360_option_statusname">
      <xsd:simpleType>
        <xsd:restriction base="dms:Text">
          <xsd:maxLength value="255"/>
        </xsd:restriction>
      </xsd:simpleType>
    </xsd:element>
    <xsd:element name="ico360_text_displayname" ma:index="11" nillable="true" ma:displayName="ico360_text_displayname" ma:internalName="ico360_text_displayname">
      <xsd:simpleType>
        <xsd:restriction base="dms:Text">
          <xsd:maxLength value="255"/>
        </xsd:restriction>
      </xsd:simpleType>
    </xsd:element>
    <xsd:element name="ico360_text_regardingid" ma:index="12" nillable="true" ma:displayName="ico360_text_regardingid" ma:internalName="ico360_text_regardingid">
      <xsd:simpleType>
        <xsd:restriction base="dms:Text">
          <xsd:maxLength value="255"/>
        </xsd:restriction>
      </xsd:simpleType>
    </xsd:element>
    <xsd:element name="ico360_versionnumber" ma:index="13" nillable="true" ma:displayName="ico360_versionnumber" ma:internalName="ico360_versionnumber">
      <xsd:simpleType>
        <xsd:restriction base="dms:Text">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7e7143aa-928b-4313-9e07-7e6a5b2f7153}" ma:internalName="TaxCatchAll" ma:showField="CatchAllData" ma:web="af1fbcce-d283-4f16-b382-703943b65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69ea0-7af6-40f2-a7c7-e1770b029bf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9c466a9-bc55-4599-9cf2-4d35ab2701f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bfc18c49-0394-481a-ba4a-a4ceacd0e392" ContentTypeId="0x01010020270C6529EA0544B2EFE190A98965F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af1fbcce-d283-4f16-b382-703943b655f9" xsi:nil="true"/>
    <_dlc_DocId xmlns="af1fbcce-d283-4f16-b382-703943b655f9">7PVYSVRJNSAZ-471804125-1297</_dlc_DocId>
    <_dlc_DocIdUrl xmlns="af1fbcce-d283-4f16-b382-703943b655f9">
      <Url>https://indigoffice.sharepoint.com/sites/CRMDocuments/_layouts/15/DocIdRedir.aspx?ID=7PVYSVRJNSAZ-471804125-1297</Url>
      <Description>7PVYSVRJNSAZ-471804125-1297</Description>
    </_dlc_DocIdUrl>
    <ico360_boolean_mfd xmlns="af1fbcce-d283-4f16-b382-703943b655f9">0</ico360_boolean_mfd>
    <Container_x0020_ID xmlns="af1fbcce-d283-4f16-b382-703943b655f9" xsi:nil="true"/>
    <Case_x0020_Reference xmlns="af1fbcce-d283-4f16-b382-703943b655f9">IC-226959-S3N3</Case_x0020_Reference>
    <ico360_text_displayname xmlns="af1fbcce-d283-4f16-b382-703943b655f9">DN for website</ico360_text_displayname>
    <ico360_option_labelname xmlns="af1fbcce-d283-4f16-b382-703943b655f9">Formal Notice</ico360_option_labelname>
    <ico360_boolean_mfr xmlns="af1fbcce-d283-4f16-b382-703943b655f9">0</ico360_boolean_mfr>
    <ico360_option_statusname xmlns="af1fbcce-d283-4f16-b382-703943b655f9">Ready</ico360_option_statusname>
    <ico360_versionnumber xmlns="af1fbcce-d283-4f16-b382-703943b655f9">1.0</ico360_versionnumber>
    <Document_x0020_Record_x0020_Id xmlns="af1fbcce-d283-4f16-b382-703943b655f9">484a4057-dd35-ee11-b852-0022483ec3f4</Document_x0020_Record_x0020_Id>
    <ico360_option_categoryname xmlns="af1fbcce-d283-4f16-b382-703943b655f9">File Document</ico360_option_categoryname>
    <lcf76f155ced4ddcb4097134ff3c332f xmlns="26269ea0-7af6-40f2-a7c7-e1770b029bff">
      <Terms xmlns="http://schemas.microsoft.com/office/infopath/2007/PartnerControls"/>
    </lcf76f155ced4ddcb4097134ff3c332f>
    <Container_x0020_Logical_x0020_Name xmlns="af1fbcce-d283-4f16-b382-703943b655f9" xsi:nil="true"/>
    <ico360_text_regardingid xmlns="af1fbcce-d283-4f16-b382-703943b655f9">BA382C1C-09DA-ED11-B84A-00224843529C</ico360_text_regarding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EDEC-22AF-4CB6-92DD-7C5C31A1FF74}"/>
</file>

<file path=customXml/itemProps2.xml><?xml version="1.0" encoding="utf-8"?>
<ds:datastoreItem xmlns:ds="http://schemas.openxmlformats.org/officeDocument/2006/customXml" ds:itemID="{A0037951-BBD0-45F2-B084-4FF509E07206}">
  <ds:schemaRefs>
    <ds:schemaRef ds:uri="http://schemas.microsoft.com/sharepoint/v3/contenttype/forms"/>
  </ds:schemaRefs>
</ds:datastoreItem>
</file>

<file path=customXml/itemProps3.xml><?xml version="1.0" encoding="utf-8"?>
<ds:datastoreItem xmlns:ds="http://schemas.openxmlformats.org/officeDocument/2006/customXml" ds:itemID="{56FA58FE-FCFE-4159-9E07-C3F41BC2EC9A}">
  <ds:schemaRefs>
    <ds:schemaRef ds:uri="http://schemas.microsoft.com/sharepoint/events"/>
  </ds:schemaRefs>
</ds:datastoreItem>
</file>

<file path=customXml/itemProps4.xml><?xml version="1.0" encoding="utf-8"?>
<ds:datastoreItem xmlns:ds="http://schemas.openxmlformats.org/officeDocument/2006/customXml" ds:itemID="{F12E703E-C48F-42E1-889B-1D3BD2394791}">
  <ds:schemaRefs>
    <ds:schemaRef ds:uri="Microsoft.SharePoint.Taxonomy.ContentTypeSync"/>
  </ds:schemaRefs>
</ds:datastoreItem>
</file>

<file path=customXml/itemProps5.xml><?xml version="1.0" encoding="utf-8"?>
<ds:datastoreItem xmlns:ds="http://schemas.openxmlformats.org/officeDocument/2006/customXml" ds:itemID="{44FDA36D-6BAB-4B7B-9314-574C4256BFD0}">
  <ds:schemaRefs>
    <ds:schemaRef ds:uri="http://schemas.microsoft.com/office/2006/metadata/properties"/>
    <ds:schemaRef ds:uri="http://schemas.microsoft.com/office/infopath/2007/PartnerControls"/>
    <ds:schemaRef ds:uri="6495cd43-30b7-45da-972d-05dc6321e6bd"/>
  </ds:schemaRefs>
</ds:datastoreItem>
</file>

<file path=customXml/itemProps6.xml><?xml version="1.0" encoding="utf-8"?>
<ds:datastoreItem xmlns:ds="http://schemas.openxmlformats.org/officeDocument/2006/customXml" ds:itemID="{1E1DAC5F-CFA2-4B12-BD3D-B8C68535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 Notice Template (FOI)</Template>
  <TotalTime>0</TotalTime>
  <Pages>8</Pages>
  <Words>2231</Words>
  <Characters>11671</Characters>
  <Application>Microsoft Office Word</Application>
  <DocSecurity>0</DocSecurity>
  <Lines>271</Lines>
  <Paragraphs>106</Paragraphs>
  <ScaleCrop>false</ScaleCrop>
  <HeadingPairs>
    <vt:vector size="2" baseType="variant">
      <vt:variant>
        <vt:lpstr>Title</vt:lpstr>
      </vt:variant>
      <vt:variant>
        <vt:i4>1</vt:i4>
      </vt:variant>
    </vt:vector>
  </HeadingPairs>
  <TitlesOfParts>
    <vt:vector size="1" baseType="lpstr">
      <vt:lpstr>Freedom of Information Act 2000 (Section 50)</vt:lpstr>
    </vt:vector>
  </TitlesOfParts>
  <Company>Information Commissioners Office</Company>
  <LinksUpToDate>false</LinksUpToDate>
  <CharactersWithSpaces>13796</CharactersWithSpaces>
  <SharedDoc>false</SharedDoc>
  <HLinks>
    <vt:vector size="12" baseType="variant">
      <vt:variant>
        <vt:i4>7405673</vt:i4>
      </vt:variant>
      <vt:variant>
        <vt:i4>3</vt:i4>
      </vt:variant>
      <vt:variant>
        <vt:i4>0</vt:i4>
      </vt:variant>
      <vt:variant>
        <vt:i4>5</vt:i4>
      </vt:variant>
      <vt:variant>
        <vt:lpwstr>http://www.justice.gov.uk/tribunals/general-regulatory-chamber</vt:lpwstr>
      </vt:variant>
      <vt:variant>
        <vt:lpwstr/>
      </vt:variant>
      <vt:variant>
        <vt:i4>7602259</vt:i4>
      </vt:variant>
      <vt:variant>
        <vt:i4>0</vt:i4>
      </vt:variant>
      <vt:variant>
        <vt:i4>0</vt:i4>
      </vt:variant>
      <vt:variant>
        <vt:i4>5</vt:i4>
      </vt:variant>
      <vt:variant>
        <vt:lpwstr>mailto:GRC@hmcts.gsi.gov.uk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2000 (Section 50)</dc:title>
  <dc:subject/>
  <dc:creator>Roger Cawthorne</dc:creator>
  <cp:keywords/>
  <cp:lastModifiedBy>Esi Owuman-Mensah</cp:lastModifiedBy>
  <cp:revision>2</cp:revision>
  <cp:lastPrinted>2023-02-07T09:35:00Z</cp:lastPrinted>
  <dcterms:created xsi:type="dcterms:W3CDTF">2023-08-08T11:18:00Z</dcterms:created>
  <dcterms:modified xsi:type="dcterms:W3CDTF">2023-08-08T11:18:00Z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0x0101003B4B409032794847972104A7041921E400F8A8C6B394AD664BB698416B12ADDB75</vt:lpwstr>
  </property>
  <property fmtid="{D5CDD505-2E9C-101B-9397-08002B2CF9AE}" pid="3" name="_dlc_DocIdItemGuid">
    <vt:lpwstr>8169308a-b45c-41d9-b0cb-7112a5743e20</vt:lpwstr>
  </property>
  <property fmtid="{D5CDD505-2E9C-101B-9397-08002B2CF9AE}" pid="4" name="TaxKeyword">
    <vt:lpwstr/>
  </property>
  <property fmtid="{D5CDD505-2E9C-101B-9397-08002B2CF9AE}" pid="5" name="TaxKeywordTaxHTField">
    <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ecm_ItemLockHolders">
    <vt:lpwstr/>
  </property>
  <property fmtid="{D5CDD505-2E9C-101B-9397-08002B2CF9AE}" pid="10" name="_vti_ItemHoldRecordStatus">
    <vt:i4>0</vt:i4>
  </property>
  <property fmtid="{D5CDD505-2E9C-101B-9397-08002B2CF9AE}" pid="11" name="MediaServiceImageTags">
    <vt:lpwstr/>
  </property>
</Properties>
</file>