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4F95" w14:textId="77777777" w:rsidR="00122BB1" w:rsidRPr="007D3558" w:rsidRDefault="00122BB1" w:rsidP="00E14BA4">
      <w:pPr>
        <w:spacing w:after="0" w:line="240" w:lineRule="auto"/>
        <w:rPr>
          <w:color w:val="FF0000"/>
        </w:rPr>
      </w:pPr>
    </w:p>
    <w:p w14:paraId="71D5591E" w14:textId="584EF67E" w:rsidR="009D548A" w:rsidRPr="007D3558" w:rsidRDefault="009D548A" w:rsidP="00B12ACD">
      <w:pPr>
        <w:spacing w:after="0" w:line="240" w:lineRule="auto"/>
        <w:ind w:left="426"/>
        <w:rPr>
          <w:rFonts w:ascii="Georgia" w:hAnsi="Georgia"/>
          <w:b/>
          <w:sz w:val="32"/>
          <w:szCs w:val="32"/>
        </w:rPr>
      </w:pPr>
      <w:r w:rsidRPr="007D3558">
        <w:rPr>
          <w:rFonts w:ascii="Georgia" w:hAnsi="Georgia"/>
          <w:b/>
          <w:sz w:val="32"/>
          <w:szCs w:val="32"/>
        </w:rPr>
        <w:t>Finance Report Summary, Financial Year 20</w:t>
      </w:r>
      <w:r w:rsidR="004C7F1B">
        <w:rPr>
          <w:rFonts w:ascii="Georgia" w:hAnsi="Georgia"/>
          <w:b/>
          <w:sz w:val="32"/>
          <w:szCs w:val="32"/>
        </w:rPr>
        <w:t>2</w:t>
      </w:r>
      <w:r w:rsidR="004922C1">
        <w:rPr>
          <w:rFonts w:ascii="Georgia" w:hAnsi="Georgia"/>
          <w:b/>
          <w:sz w:val="32"/>
          <w:szCs w:val="32"/>
        </w:rPr>
        <w:t>1</w:t>
      </w:r>
      <w:r w:rsidRPr="007D3558">
        <w:rPr>
          <w:rFonts w:ascii="Georgia" w:hAnsi="Georgia"/>
          <w:b/>
          <w:sz w:val="32"/>
          <w:szCs w:val="32"/>
        </w:rPr>
        <w:t>/</w:t>
      </w:r>
      <w:r w:rsidR="00300F6A">
        <w:rPr>
          <w:rFonts w:ascii="Georgia" w:hAnsi="Georgia"/>
          <w:b/>
          <w:sz w:val="32"/>
          <w:szCs w:val="32"/>
        </w:rPr>
        <w:t>2</w:t>
      </w:r>
      <w:r w:rsidR="004922C1">
        <w:rPr>
          <w:rFonts w:ascii="Georgia" w:hAnsi="Georgia"/>
          <w:b/>
          <w:sz w:val="32"/>
          <w:szCs w:val="32"/>
        </w:rPr>
        <w:t>2</w:t>
      </w:r>
    </w:p>
    <w:p w14:paraId="20C8C1F8" w14:textId="33D54858" w:rsidR="009D548A" w:rsidRDefault="005A3B0A" w:rsidP="00B12ACD">
      <w:pPr>
        <w:spacing w:after="0" w:line="240" w:lineRule="auto"/>
        <w:ind w:left="426" w:right="424"/>
        <w:rPr>
          <w:rFonts w:ascii="Georgia" w:hAnsi="Georgia"/>
          <w:b/>
          <w:sz w:val="32"/>
          <w:szCs w:val="32"/>
        </w:rPr>
      </w:pPr>
      <w:r>
        <w:rPr>
          <w:rFonts w:ascii="Georgia" w:hAnsi="Georgia"/>
          <w:b/>
          <w:sz w:val="32"/>
          <w:szCs w:val="32"/>
        </w:rPr>
        <w:t>August</w:t>
      </w:r>
      <w:r w:rsidR="003B2832">
        <w:rPr>
          <w:rFonts w:ascii="Georgia" w:hAnsi="Georgia"/>
          <w:b/>
          <w:sz w:val="32"/>
          <w:szCs w:val="32"/>
        </w:rPr>
        <w:t xml:space="preserve"> </w:t>
      </w:r>
      <w:r w:rsidR="00191148">
        <w:rPr>
          <w:rFonts w:ascii="Georgia" w:hAnsi="Georgia"/>
          <w:b/>
          <w:sz w:val="32"/>
          <w:szCs w:val="32"/>
        </w:rPr>
        <w:t>202</w:t>
      </w:r>
      <w:r w:rsidR="004C7F1B">
        <w:rPr>
          <w:rFonts w:ascii="Georgia" w:hAnsi="Georgia"/>
          <w:b/>
          <w:sz w:val="32"/>
          <w:szCs w:val="32"/>
        </w:rPr>
        <w:t>1</w:t>
      </w:r>
    </w:p>
    <w:p w14:paraId="720EF4BF" w14:textId="77777777" w:rsidR="00122BB1" w:rsidRPr="007D3558" w:rsidRDefault="00122BB1" w:rsidP="00B12ACD">
      <w:pPr>
        <w:spacing w:after="0" w:line="240" w:lineRule="auto"/>
        <w:ind w:right="424"/>
        <w:rPr>
          <w:color w:val="FF0000"/>
        </w:rPr>
      </w:pPr>
    </w:p>
    <w:p w14:paraId="2DF874EF" w14:textId="77777777" w:rsidR="00122BB1" w:rsidRPr="007D3558" w:rsidRDefault="00122BB1" w:rsidP="00B12ACD">
      <w:pPr>
        <w:pBdr>
          <w:bottom w:val="single" w:sz="4" w:space="1" w:color="auto"/>
        </w:pBdr>
        <w:spacing w:after="0" w:line="240" w:lineRule="auto"/>
        <w:ind w:right="424"/>
        <w:rPr>
          <w:b/>
          <w:color w:val="FF0000"/>
          <w:sz w:val="24"/>
          <w:szCs w:val="24"/>
          <w:highlight w:val="yellow"/>
        </w:rPr>
      </w:pPr>
    </w:p>
    <w:p w14:paraId="2FAAB198" w14:textId="77777777" w:rsidR="00014D00" w:rsidRPr="007D3558" w:rsidRDefault="00014D00" w:rsidP="00B12ACD">
      <w:pPr>
        <w:spacing w:after="0" w:line="240" w:lineRule="auto"/>
        <w:ind w:right="424"/>
        <w:rPr>
          <w:b/>
          <w:color w:val="FF0000"/>
          <w:sz w:val="28"/>
          <w:szCs w:val="28"/>
        </w:rPr>
      </w:pPr>
    </w:p>
    <w:p w14:paraId="426BD39C" w14:textId="6CD17E19" w:rsidR="007B51E6" w:rsidRDefault="006F2B18" w:rsidP="00B12ACD">
      <w:pPr>
        <w:spacing w:after="0" w:line="240" w:lineRule="auto"/>
        <w:ind w:left="426" w:right="424"/>
        <w:rPr>
          <w:b/>
          <w:color w:val="FF0000"/>
          <w:sz w:val="28"/>
          <w:szCs w:val="28"/>
        </w:rPr>
      </w:pPr>
      <w:r w:rsidRPr="006F2B18">
        <w:rPr>
          <w:rFonts w:ascii="Georgia" w:hAnsi="Georgia"/>
          <w:b/>
          <w:sz w:val="32"/>
          <w:szCs w:val="32"/>
        </w:rPr>
        <w:t>Executive Summary</w:t>
      </w:r>
    </w:p>
    <w:p w14:paraId="4ABC0D2B" w14:textId="77777777" w:rsidR="00F82F45" w:rsidRDefault="00F82F45" w:rsidP="00537893">
      <w:pPr>
        <w:rPr>
          <w:sz w:val="24"/>
          <w:szCs w:val="24"/>
        </w:rPr>
      </w:pPr>
    </w:p>
    <w:p w14:paraId="58CE5FB4" w14:textId="73EA17CF" w:rsidR="00F82F45" w:rsidRDefault="00142847" w:rsidP="00537893">
      <w:r w:rsidRPr="00F82F45">
        <w:rPr>
          <w:rStyle w:val="normaltextrun1"/>
          <w:sz w:val="24"/>
          <w:szCs w:val="24"/>
        </w:rPr>
        <w:t xml:space="preserve">The accounts for the end of </w:t>
      </w:r>
      <w:r w:rsidR="005A3B0A" w:rsidRPr="00F82F45">
        <w:rPr>
          <w:rStyle w:val="normaltextrun1"/>
          <w:sz w:val="24"/>
          <w:szCs w:val="24"/>
        </w:rPr>
        <w:t>August</w:t>
      </w:r>
      <w:r w:rsidRPr="00F82F45">
        <w:rPr>
          <w:rStyle w:val="normaltextrun1"/>
          <w:sz w:val="24"/>
          <w:szCs w:val="24"/>
        </w:rPr>
        <w:t xml:space="preserve">, as set out below, </w:t>
      </w:r>
      <w:r w:rsidR="005F04F1" w:rsidRPr="00F82F45">
        <w:rPr>
          <w:rStyle w:val="normaltextrun1"/>
          <w:sz w:val="24"/>
          <w:szCs w:val="24"/>
        </w:rPr>
        <w:t xml:space="preserve">continue to show a </w:t>
      </w:r>
      <w:r w:rsidR="00A3700F" w:rsidRPr="00F82F45">
        <w:rPr>
          <w:rStyle w:val="normaltextrun1"/>
          <w:sz w:val="24"/>
          <w:szCs w:val="24"/>
        </w:rPr>
        <w:t xml:space="preserve">strong performance in income, with DP fee income </w:t>
      </w:r>
      <w:r w:rsidR="00E91E40" w:rsidRPr="00F82F45">
        <w:rPr>
          <w:rStyle w:val="normaltextrun1"/>
          <w:sz w:val="24"/>
          <w:szCs w:val="24"/>
        </w:rPr>
        <w:t>£8</w:t>
      </w:r>
      <w:r w:rsidR="005F04F1" w:rsidRPr="00F82F45">
        <w:rPr>
          <w:rStyle w:val="normaltextrun1"/>
          <w:sz w:val="24"/>
          <w:szCs w:val="24"/>
        </w:rPr>
        <w:t>01</w:t>
      </w:r>
      <w:r w:rsidR="00E91E40" w:rsidRPr="00F82F45">
        <w:rPr>
          <w:rStyle w:val="normaltextrun1"/>
          <w:sz w:val="24"/>
          <w:szCs w:val="24"/>
        </w:rPr>
        <w:t>k</w:t>
      </w:r>
      <w:r w:rsidR="00A3700F" w:rsidRPr="00F82F45">
        <w:rPr>
          <w:rStyle w:val="normaltextrun1"/>
          <w:sz w:val="24"/>
          <w:szCs w:val="24"/>
        </w:rPr>
        <w:t xml:space="preserve"> ahead of</w:t>
      </w:r>
      <w:r w:rsidR="00EC619B" w:rsidRPr="00F82F45">
        <w:rPr>
          <w:rStyle w:val="normaltextrun1"/>
          <w:sz w:val="24"/>
          <w:szCs w:val="24"/>
        </w:rPr>
        <w:t xml:space="preserve"> forecast</w:t>
      </w:r>
      <w:r w:rsidR="00A3700F" w:rsidRPr="00F82F45">
        <w:rPr>
          <w:rStyle w:val="normaltextrun1"/>
          <w:sz w:val="24"/>
          <w:szCs w:val="24"/>
        </w:rPr>
        <w:t xml:space="preserve"> at the end of the </w:t>
      </w:r>
      <w:r w:rsidR="00E91E40" w:rsidRPr="00F82F45">
        <w:rPr>
          <w:rStyle w:val="normaltextrun1"/>
          <w:sz w:val="24"/>
          <w:szCs w:val="24"/>
        </w:rPr>
        <w:t>month</w:t>
      </w:r>
      <w:r w:rsidR="00A3700F" w:rsidRPr="00F82F45">
        <w:rPr>
          <w:rStyle w:val="normaltextrun1"/>
          <w:sz w:val="24"/>
          <w:szCs w:val="24"/>
        </w:rPr>
        <w:t xml:space="preserve">. There </w:t>
      </w:r>
      <w:r w:rsidR="00E91E40" w:rsidRPr="00F82F45">
        <w:rPr>
          <w:rStyle w:val="normaltextrun1"/>
          <w:sz w:val="24"/>
          <w:szCs w:val="24"/>
        </w:rPr>
        <w:t>continue</w:t>
      </w:r>
      <w:r w:rsidR="00F76AC7" w:rsidRPr="00F82F45">
        <w:rPr>
          <w:rStyle w:val="normaltextrun1"/>
          <w:sz w:val="24"/>
          <w:szCs w:val="24"/>
        </w:rPr>
        <w:t>s</w:t>
      </w:r>
      <w:r w:rsidR="00E91E40" w:rsidRPr="00F82F45">
        <w:rPr>
          <w:rStyle w:val="normaltextrun1"/>
          <w:sz w:val="24"/>
          <w:szCs w:val="24"/>
        </w:rPr>
        <w:t xml:space="preserve"> to be </w:t>
      </w:r>
      <w:r w:rsidR="00F76AC7" w:rsidRPr="00F82F45">
        <w:rPr>
          <w:rStyle w:val="normaltextrun1"/>
          <w:sz w:val="24"/>
          <w:szCs w:val="24"/>
        </w:rPr>
        <w:t xml:space="preserve">several </w:t>
      </w:r>
      <w:r w:rsidR="00A3700F" w:rsidRPr="00F82F45">
        <w:rPr>
          <w:rStyle w:val="normaltextrun1"/>
          <w:sz w:val="24"/>
          <w:szCs w:val="24"/>
        </w:rPr>
        <w:t xml:space="preserve">areas of expenditure where </w:t>
      </w:r>
      <w:r w:rsidR="006D2D51">
        <w:rPr>
          <w:rStyle w:val="normaltextrun1"/>
          <w:sz w:val="24"/>
          <w:szCs w:val="24"/>
        </w:rPr>
        <w:t>spending is below budget</w:t>
      </w:r>
      <w:r w:rsidR="00522F8E" w:rsidRPr="00F82F45">
        <w:rPr>
          <w:rStyle w:val="normaltextrun1"/>
          <w:sz w:val="24"/>
          <w:szCs w:val="24"/>
        </w:rPr>
        <w:t xml:space="preserve"> including travel, professional fees, advertising and marketing spend, which is now subject to additional spending controls. </w:t>
      </w:r>
      <w:r w:rsidR="00627F4E" w:rsidRPr="00F82F45">
        <w:rPr>
          <w:rStyle w:val="normaltextrun1"/>
          <w:sz w:val="24"/>
          <w:szCs w:val="24"/>
        </w:rPr>
        <w:t xml:space="preserve">As agreed by Resources Board, and detailed in the July Management Accounts Report, a contingency of £1.478m, previously included in the budget to </w:t>
      </w:r>
      <w:r w:rsidR="00627F4E" w:rsidRPr="00F82F45">
        <w:rPr>
          <w:sz w:val="24"/>
          <w:szCs w:val="24"/>
        </w:rPr>
        <w:t>mitigate the risk of any under recovery of income in the current economic climate, was released to fund priority projects. </w:t>
      </w:r>
      <w:r w:rsidR="00522F8E" w:rsidRPr="00F82F45">
        <w:rPr>
          <w:rStyle w:val="normaltextrun1"/>
          <w:sz w:val="24"/>
          <w:szCs w:val="24"/>
        </w:rPr>
        <w:t xml:space="preserve">All of these, and existing business cases will be closely monitored to ensure they are on track to deliver to agreed timescales. </w:t>
      </w:r>
      <w:r w:rsidR="005F04F1" w:rsidRPr="00F82F45">
        <w:rPr>
          <w:rStyle w:val="normaltextrun1"/>
          <w:sz w:val="24"/>
          <w:szCs w:val="24"/>
        </w:rPr>
        <w:t xml:space="preserve">Budget meetings </w:t>
      </w:r>
      <w:r w:rsidR="00D52EE1">
        <w:rPr>
          <w:rStyle w:val="normaltextrun1"/>
          <w:sz w:val="24"/>
          <w:szCs w:val="24"/>
        </w:rPr>
        <w:t xml:space="preserve">are </w:t>
      </w:r>
      <w:r w:rsidR="005F04F1" w:rsidRPr="00F82F45">
        <w:rPr>
          <w:rStyle w:val="normaltextrun1"/>
          <w:sz w:val="24"/>
          <w:szCs w:val="24"/>
        </w:rPr>
        <w:t>currently being conducted</w:t>
      </w:r>
      <w:r w:rsidR="00D52EE1">
        <w:rPr>
          <w:rStyle w:val="normaltextrun1"/>
          <w:sz w:val="24"/>
          <w:szCs w:val="24"/>
        </w:rPr>
        <w:t xml:space="preserve"> and</w:t>
      </w:r>
      <w:r w:rsidR="005F04F1" w:rsidRPr="00F82F45">
        <w:rPr>
          <w:rStyle w:val="normaltextrun1"/>
          <w:sz w:val="24"/>
          <w:szCs w:val="24"/>
        </w:rPr>
        <w:t xml:space="preserve"> will provide greater detail as to which budget lines</w:t>
      </w:r>
      <w:r w:rsidR="006D2D51">
        <w:rPr>
          <w:rStyle w:val="normaltextrun1"/>
          <w:sz w:val="24"/>
          <w:szCs w:val="24"/>
        </w:rPr>
        <w:t xml:space="preserve"> are likely to meet</w:t>
      </w:r>
      <w:r w:rsidR="005F04F1" w:rsidRPr="00F82F45">
        <w:rPr>
          <w:rStyle w:val="normaltextrun1"/>
          <w:sz w:val="24"/>
          <w:szCs w:val="24"/>
        </w:rPr>
        <w:t xml:space="preserve"> forecast spend, and those where there is uncertainty as to whether the full budget will be required. </w:t>
      </w:r>
      <w:r w:rsidR="005F04F1" w:rsidRPr="00F82F45">
        <w:rPr>
          <w:sz w:val="24"/>
          <w:szCs w:val="24"/>
        </w:rPr>
        <w:t xml:space="preserve"> A full view of the </w:t>
      </w:r>
      <w:r w:rsidR="00D52EE1">
        <w:rPr>
          <w:sz w:val="24"/>
          <w:szCs w:val="24"/>
        </w:rPr>
        <w:t>h</w:t>
      </w:r>
      <w:r w:rsidR="005F04F1" w:rsidRPr="00F82F45">
        <w:rPr>
          <w:sz w:val="24"/>
          <w:szCs w:val="24"/>
        </w:rPr>
        <w:t xml:space="preserve">alf year position will be presented and analysed within the September </w:t>
      </w:r>
      <w:r w:rsidR="00522F8E" w:rsidRPr="00F82F45">
        <w:rPr>
          <w:sz w:val="24"/>
          <w:szCs w:val="24"/>
        </w:rPr>
        <w:t xml:space="preserve">Management </w:t>
      </w:r>
      <w:r w:rsidR="00537893" w:rsidRPr="00F82F45">
        <w:rPr>
          <w:sz w:val="24"/>
          <w:szCs w:val="24"/>
        </w:rPr>
        <w:t>Accounts.</w:t>
      </w:r>
      <w:r w:rsidR="00F82F45" w:rsidRPr="00F82F45">
        <w:t xml:space="preserve"> </w:t>
      </w:r>
    </w:p>
    <w:p w14:paraId="587E0D27" w14:textId="78A4794C" w:rsidR="00537893" w:rsidRPr="00F82F45" w:rsidRDefault="00F82F45" w:rsidP="00537893">
      <w:pPr>
        <w:rPr>
          <w:sz w:val="24"/>
          <w:szCs w:val="24"/>
        </w:rPr>
      </w:pPr>
      <w:r w:rsidRPr="00F82F45">
        <w:rPr>
          <w:noProof/>
        </w:rPr>
        <w:drawing>
          <wp:inline distT="0" distB="0" distL="0" distR="0" wp14:anchorId="5B239E8D" wp14:editId="42E384AC">
            <wp:extent cx="6934200" cy="427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34200" cy="4273550"/>
                    </a:xfrm>
                    <a:prstGeom prst="rect">
                      <a:avLst/>
                    </a:prstGeom>
                    <a:noFill/>
                    <a:ln>
                      <a:noFill/>
                    </a:ln>
                  </pic:spPr>
                </pic:pic>
              </a:graphicData>
            </a:graphic>
          </wp:inline>
        </w:drawing>
      </w:r>
    </w:p>
    <w:p w14:paraId="321A2949" w14:textId="3D8557C4" w:rsidR="00122BB1" w:rsidRPr="00537893" w:rsidRDefault="00122BB1" w:rsidP="00537893">
      <w:r w:rsidRPr="00B12ACD">
        <w:rPr>
          <w:b/>
          <w:sz w:val="24"/>
          <w:szCs w:val="24"/>
        </w:rPr>
        <w:lastRenderedPageBreak/>
        <w:t>Income</w:t>
      </w:r>
    </w:p>
    <w:p w14:paraId="6973C077" w14:textId="6E95FEAC" w:rsidR="003B2832" w:rsidRPr="003B2832" w:rsidRDefault="0046630B" w:rsidP="0025084E">
      <w:pPr>
        <w:spacing w:line="240" w:lineRule="auto"/>
        <w:rPr>
          <w:rStyle w:val="normaltextrun1"/>
          <w:rFonts w:eastAsia="Times New Roman" w:cs="Times New Roman"/>
          <w:sz w:val="24"/>
          <w:szCs w:val="24"/>
          <w:lang w:eastAsia="en-GB"/>
        </w:rPr>
      </w:pPr>
      <w:r>
        <w:rPr>
          <w:rStyle w:val="normaltextrun1"/>
          <w:rFonts w:eastAsia="Times New Roman" w:cs="Times New Roman"/>
          <w:sz w:val="24"/>
          <w:szCs w:val="24"/>
          <w:lang w:eastAsia="en-GB"/>
        </w:rPr>
        <w:t>O</w:t>
      </w:r>
      <w:r w:rsidR="003B2832" w:rsidRPr="003B2832">
        <w:rPr>
          <w:rStyle w:val="normaltextrun1"/>
          <w:rFonts w:eastAsia="Times New Roman" w:cs="Times New Roman"/>
          <w:sz w:val="24"/>
          <w:szCs w:val="24"/>
          <w:lang w:eastAsia="en-GB"/>
        </w:rPr>
        <w:t>verall</w:t>
      </w:r>
      <w:r w:rsidR="00DE650D">
        <w:rPr>
          <w:rStyle w:val="normaltextrun1"/>
          <w:rFonts w:eastAsia="Times New Roman" w:cs="Times New Roman"/>
          <w:sz w:val="24"/>
          <w:szCs w:val="24"/>
          <w:lang w:eastAsia="en-GB"/>
        </w:rPr>
        <w:t xml:space="preserve">, </w:t>
      </w:r>
      <w:r w:rsidR="003B2832" w:rsidRPr="003B2832">
        <w:rPr>
          <w:rStyle w:val="normaltextrun1"/>
          <w:rFonts w:eastAsia="Times New Roman" w:cs="Times New Roman"/>
          <w:sz w:val="24"/>
          <w:szCs w:val="24"/>
          <w:lang w:eastAsia="en-GB"/>
        </w:rPr>
        <w:t xml:space="preserve">income is </w:t>
      </w:r>
      <w:r w:rsidR="003B2832" w:rsidRPr="006D2D51">
        <w:rPr>
          <w:rStyle w:val="normaltextrun1"/>
          <w:rFonts w:eastAsia="Times New Roman" w:cs="Times New Roman"/>
          <w:sz w:val="24"/>
          <w:szCs w:val="24"/>
          <w:lang w:eastAsia="en-GB"/>
        </w:rPr>
        <w:t>ahead of profile at month end</w:t>
      </w:r>
      <w:r w:rsidR="009A7DF8" w:rsidRPr="006D2D51">
        <w:rPr>
          <w:rStyle w:val="normaltextrun1"/>
          <w:rFonts w:eastAsia="Times New Roman" w:cs="Times New Roman"/>
          <w:sz w:val="24"/>
          <w:szCs w:val="24"/>
          <w:lang w:eastAsia="en-GB"/>
        </w:rPr>
        <w:t xml:space="preserve">, with DP fee income </w:t>
      </w:r>
      <w:r w:rsidR="003B2832" w:rsidRPr="006D2D51">
        <w:rPr>
          <w:rStyle w:val="normaltextrun1"/>
          <w:rFonts w:eastAsia="Times New Roman" w:cs="Times New Roman"/>
          <w:sz w:val="24"/>
          <w:szCs w:val="24"/>
          <w:lang w:eastAsia="en-GB"/>
        </w:rPr>
        <w:t>£</w:t>
      </w:r>
      <w:r w:rsidR="00EB7139" w:rsidRPr="006D2D51">
        <w:rPr>
          <w:rStyle w:val="normaltextrun1"/>
          <w:rFonts w:eastAsia="Times New Roman" w:cs="Times New Roman"/>
          <w:sz w:val="24"/>
          <w:szCs w:val="24"/>
          <w:lang w:eastAsia="en-GB"/>
        </w:rPr>
        <w:t>8</w:t>
      </w:r>
      <w:r w:rsidR="00570379" w:rsidRPr="006D2D51">
        <w:rPr>
          <w:rStyle w:val="normaltextrun1"/>
          <w:rFonts w:eastAsia="Times New Roman" w:cs="Times New Roman"/>
          <w:sz w:val="24"/>
          <w:szCs w:val="24"/>
          <w:lang w:eastAsia="en-GB"/>
        </w:rPr>
        <w:t>01</w:t>
      </w:r>
      <w:r w:rsidR="003B2832" w:rsidRPr="006D2D51">
        <w:rPr>
          <w:rStyle w:val="normaltextrun1"/>
          <w:rFonts w:eastAsia="Times New Roman" w:cs="Times New Roman"/>
          <w:sz w:val="24"/>
          <w:szCs w:val="24"/>
          <w:lang w:eastAsia="en-GB"/>
        </w:rPr>
        <w:t xml:space="preserve">k ahead of </w:t>
      </w:r>
      <w:r w:rsidR="00A82CBE" w:rsidRPr="006D2D51">
        <w:rPr>
          <w:rStyle w:val="normaltextrun1"/>
          <w:rFonts w:eastAsia="Times New Roman" w:cs="Times New Roman"/>
          <w:sz w:val="24"/>
          <w:szCs w:val="24"/>
          <w:lang w:eastAsia="en-GB"/>
        </w:rPr>
        <w:t>forecast</w:t>
      </w:r>
      <w:r w:rsidR="00F76AC7" w:rsidRPr="006D2D51">
        <w:rPr>
          <w:rStyle w:val="normaltextrun1"/>
          <w:rFonts w:eastAsia="Times New Roman" w:cs="Times New Roman"/>
          <w:sz w:val="24"/>
          <w:szCs w:val="24"/>
          <w:lang w:eastAsia="en-GB"/>
        </w:rPr>
        <w:t xml:space="preserve">. </w:t>
      </w:r>
      <w:r w:rsidR="00570379" w:rsidRPr="006D2D51">
        <w:rPr>
          <w:rStyle w:val="normaltextrun1"/>
          <w:rFonts w:eastAsia="Times New Roman" w:cs="Times New Roman"/>
          <w:sz w:val="24"/>
          <w:szCs w:val="24"/>
          <w:lang w:eastAsia="en-GB"/>
        </w:rPr>
        <w:t xml:space="preserve">Proactive contact with organisations has helped to support the </w:t>
      </w:r>
      <w:r w:rsidR="006D2D51">
        <w:rPr>
          <w:rStyle w:val="normaltextrun1"/>
          <w:rFonts w:eastAsia="Times New Roman" w:cs="Times New Roman"/>
          <w:sz w:val="24"/>
          <w:szCs w:val="24"/>
          <w:lang w:eastAsia="en-GB"/>
        </w:rPr>
        <w:t>r</w:t>
      </w:r>
      <w:r w:rsidR="003B2832" w:rsidRPr="006D2D51">
        <w:rPr>
          <w:rStyle w:val="normaltextrun1"/>
          <w:rFonts w:eastAsia="Times New Roman" w:cs="Times New Roman"/>
          <w:sz w:val="24"/>
          <w:szCs w:val="24"/>
          <w:lang w:eastAsia="en-GB"/>
        </w:rPr>
        <w:t xml:space="preserve">enewals </w:t>
      </w:r>
      <w:r w:rsidR="00DC6C03" w:rsidRPr="006D2D51">
        <w:rPr>
          <w:rStyle w:val="normaltextrun1"/>
          <w:rFonts w:eastAsia="Times New Roman" w:cs="Times New Roman"/>
          <w:sz w:val="24"/>
          <w:szCs w:val="24"/>
          <w:lang w:eastAsia="en-GB"/>
        </w:rPr>
        <w:t xml:space="preserve">and </w:t>
      </w:r>
      <w:r w:rsidR="003B2832" w:rsidRPr="006D2D51">
        <w:rPr>
          <w:rStyle w:val="normaltextrun1"/>
          <w:rFonts w:eastAsia="Times New Roman" w:cs="Times New Roman"/>
          <w:sz w:val="24"/>
          <w:szCs w:val="24"/>
          <w:lang w:eastAsia="en-GB"/>
        </w:rPr>
        <w:t xml:space="preserve">acquisitions </w:t>
      </w:r>
      <w:r w:rsidR="00101DA0" w:rsidRPr="006D2D51">
        <w:rPr>
          <w:rStyle w:val="normaltextrun1"/>
          <w:rFonts w:eastAsia="Times New Roman" w:cs="Times New Roman"/>
          <w:sz w:val="24"/>
          <w:szCs w:val="24"/>
          <w:lang w:eastAsia="en-GB"/>
        </w:rPr>
        <w:t xml:space="preserve">metrics </w:t>
      </w:r>
      <w:r w:rsidR="003B2832" w:rsidRPr="006D2D51">
        <w:rPr>
          <w:rStyle w:val="normaltextrun1"/>
          <w:rFonts w:eastAsia="Times New Roman" w:cs="Times New Roman"/>
          <w:sz w:val="24"/>
          <w:szCs w:val="24"/>
          <w:lang w:eastAsia="en-GB"/>
        </w:rPr>
        <w:t>through the year</w:t>
      </w:r>
      <w:r w:rsidR="00101DA0" w:rsidRPr="006D2D51">
        <w:rPr>
          <w:rStyle w:val="normaltextrun1"/>
          <w:rFonts w:eastAsia="Times New Roman" w:cs="Times New Roman"/>
          <w:sz w:val="24"/>
          <w:szCs w:val="24"/>
          <w:lang w:eastAsia="en-GB"/>
        </w:rPr>
        <w:t xml:space="preserve">. </w:t>
      </w:r>
      <w:r w:rsidR="0025084E" w:rsidRPr="006D2D51">
        <w:rPr>
          <w:rStyle w:val="normaltextrun1"/>
          <w:rFonts w:eastAsia="Times New Roman" w:cs="Times New Roman"/>
          <w:sz w:val="24"/>
          <w:szCs w:val="24"/>
          <w:lang w:eastAsia="en-GB"/>
        </w:rPr>
        <w:t xml:space="preserve">The renewal rate was </w:t>
      </w:r>
      <w:r w:rsidR="006D2D51" w:rsidRPr="006D2D51">
        <w:rPr>
          <w:rStyle w:val="normaltextrun1"/>
          <w:rFonts w:eastAsia="Times New Roman" w:cs="Times New Roman"/>
          <w:sz w:val="24"/>
          <w:szCs w:val="24"/>
          <w:lang w:eastAsia="en-GB"/>
        </w:rPr>
        <w:t>86.64</w:t>
      </w:r>
      <w:r w:rsidR="0025084E" w:rsidRPr="006D2D51">
        <w:rPr>
          <w:rStyle w:val="normaltextrun1"/>
          <w:rFonts w:eastAsia="Times New Roman" w:cs="Times New Roman"/>
          <w:sz w:val="24"/>
          <w:szCs w:val="24"/>
          <w:lang w:eastAsia="en-GB"/>
        </w:rPr>
        <w:t xml:space="preserve">% at the end of </w:t>
      </w:r>
      <w:r w:rsidR="006D2D51" w:rsidRPr="006D2D51">
        <w:rPr>
          <w:rStyle w:val="normaltextrun1"/>
          <w:rFonts w:eastAsia="Times New Roman" w:cs="Times New Roman"/>
          <w:sz w:val="24"/>
          <w:szCs w:val="24"/>
          <w:lang w:eastAsia="en-GB"/>
        </w:rPr>
        <w:t>August</w:t>
      </w:r>
      <w:r w:rsidR="0025084E" w:rsidRPr="006D2D51">
        <w:rPr>
          <w:rStyle w:val="normaltextrun1"/>
          <w:rFonts w:eastAsia="Times New Roman" w:cs="Times New Roman"/>
          <w:sz w:val="24"/>
          <w:szCs w:val="24"/>
          <w:lang w:eastAsia="en-GB"/>
        </w:rPr>
        <w:t xml:space="preserve"> and at the end of the month there were </w:t>
      </w:r>
      <w:r w:rsidR="006D2D51" w:rsidRPr="006D2D51">
        <w:rPr>
          <w:rStyle w:val="normaltextrun1"/>
          <w:rFonts w:eastAsia="Times New Roman" w:cs="Times New Roman"/>
          <w:sz w:val="24"/>
          <w:szCs w:val="24"/>
          <w:lang w:eastAsia="en-GB"/>
        </w:rPr>
        <w:t xml:space="preserve">996k </w:t>
      </w:r>
      <w:r w:rsidR="0025084E" w:rsidRPr="006D2D51">
        <w:rPr>
          <w:rStyle w:val="normaltextrun1"/>
          <w:rFonts w:eastAsia="Times New Roman" w:cs="Times New Roman"/>
          <w:sz w:val="24"/>
          <w:szCs w:val="24"/>
          <w:lang w:eastAsia="en-GB"/>
        </w:rPr>
        <w:t xml:space="preserve"> organisations on the fee register</w:t>
      </w:r>
      <w:r w:rsidR="006D2D51" w:rsidRPr="006D2D51">
        <w:rPr>
          <w:rStyle w:val="normaltextrun1"/>
          <w:rFonts w:eastAsia="Times New Roman" w:cs="Times New Roman"/>
          <w:sz w:val="24"/>
          <w:szCs w:val="24"/>
          <w:lang w:eastAsia="en-GB"/>
        </w:rPr>
        <w:t>, against</w:t>
      </w:r>
      <w:r w:rsidR="006D2D51">
        <w:rPr>
          <w:rStyle w:val="normaltextrun1"/>
          <w:rFonts w:eastAsia="Times New Roman" w:cs="Times New Roman"/>
          <w:sz w:val="24"/>
          <w:szCs w:val="24"/>
          <w:lang w:eastAsia="en-GB"/>
        </w:rPr>
        <w:t xml:space="preserve"> a year-end target of £1.13m. On the 6</w:t>
      </w:r>
      <w:r w:rsidR="006D2D51" w:rsidRPr="006D2D51">
        <w:rPr>
          <w:rStyle w:val="normaltextrun1"/>
          <w:rFonts w:eastAsia="Times New Roman" w:cs="Times New Roman"/>
          <w:sz w:val="24"/>
          <w:szCs w:val="24"/>
          <w:vertAlign w:val="superscript"/>
          <w:lang w:eastAsia="en-GB"/>
        </w:rPr>
        <w:t>th</w:t>
      </w:r>
      <w:r w:rsidR="006D2D51">
        <w:rPr>
          <w:rStyle w:val="normaltextrun1"/>
          <w:rFonts w:eastAsia="Times New Roman" w:cs="Times New Roman"/>
          <w:sz w:val="24"/>
          <w:szCs w:val="24"/>
          <w:lang w:eastAsia="en-GB"/>
        </w:rPr>
        <w:t xml:space="preserve"> of September, just after month end, the register reached the £1m milestone, with 137,914 new registrations added this financial year by the of August, against a target of 136,385. </w:t>
      </w:r>
      <w:r w:rsidR="00D413D1">
        <w:rPr>
          <w:rStyle w:val="normaltextrun1"/>
          <w:rFonts w:eastAsia="Times New Roman" w:cs="Times New Roman"/>
          <w:sz w:val="24"/>
          <w:szCs w:val="24"/>
          <w:lang w:eastAsia="en-GB"/>
        </w:rPr>
        <w:t xml:space="preserve">As a result of </w:t>
      </w:r>
      <w:r w:rsidR="003B2832">
        <w:rPr>
          <w:rStyle w:val="normaltextrun1"/>
          <w:rFonts w:eastAsia="Times New Roman" w:cs="Times New Roman"/>
          <w:sz w:val="24"/>
          <w:szCs w:val="24"/>
          <w:lang w:eastAsia="en-GB"/>
        </w:rPr>
        <w:t xml:space="preserve">this, </w:t>
      </w:r>
      <w:r w:rsidR="003B2832" w:rsidRPr="003B2832">
        <w:rPr>
          <w:rStyle w:val="normaltextrun1"/>
          <w:rFonts w:eastAsia="Times New Roman" w:cs="Times New Roman"/>
          <w:sz w:val="24"/>
          <w:szCs w:val="24"/>
          <w:lang w:eastAsia="en-GB"/>
        </w:rPr>
        <w:t xml:space="preserve">it is reasonable to say that we are on track to </w:t>
      </w:r>
      <w:r w:rsidR="00C173BE">
        <w:rPr>
          <w:rStyle w:val="normaltextrun1"/>
          <w:rFonts w:eastAsia="Times New Roman" w:cs="Times New Roman"/>
          <w:sz w:val="24"/>
          <w:szCs w:val="24"/>
          <w:lang w:eastAsia="en-GB"/>
        </w:rPr>
        <w:t xml:space="preserve">deliver our forecast on </w:t>
      </w:r>
      <w:r w:rsidR="003B2832">
        <w:rPr>
          <w:rStyle w:val="normaltextrun1"/>
          <w:rFonts w:eastAsia="Times New Roman" w:cs="Times New Roman"/>
          <w:sz w:val="24"/>
          <w:szCs w:val="24"/>
          <w:lang w:eastAsia="en-GB"/>
        </w:rPr>
        <w:t>DP income</w:t>
      </w:r>
      <w:r w:rsidR="006D2D51">
        <w:rPr>
          <w:rStyle w:val="normaltextrun1"/>
          <w:rFonts w:eastAsia="Times New Roman" w:cs="Times New Roman"/>
          <w:sz w:val="24"/>
          <w:szCs w:val="24"/>
          <w:lang w:eastAsia="en-GB"/>
        </w:rPr>
        <w:t xml:space="preserve"> and work will take place for the upcoming half year to reforecast income based on year to date performance. </w:t>
      </w:r>
    </w:p>
    <w:p w14:paraId="2768DB70" w14:textId="1E181998" w:rsidR="00D71783" w:rsidRDefault="00E01982" w:rsidP="00DE650D">
      <w:pPr>
        <w:spacing w:after="120" w:line="240" w:lineRule="auto"/>
        <w:jc w:val="both"/>
        <w:rPr>
          <w:rStyle w:val="normaltextrun1"/>
          <w:rFonts w:eastAsia="Times New Roman" w:cs="Times New Roman"/>
          <w:sz w:val="24"/>
          <w:szCs w:val="24"/>
          <w:lang w:eastAsia="en-GB"/>
        </w:rPr>
      </w:pPr>
      <w:r w:rsidRPr="00FF769E">
        <w:rPr>
          <w:rStyle w:val="normaltextrun1"/>
          <w:rFonts w:eastAsia="Times New Roman" w:cs="Times New Roman"/>
          <w:sz w:val="24"/>
          <w:szCs w:val="24"/>
          <w:lang w:eastAsia="en-GB"/>
        </w:rPr>
        <w:t xml:space="preserve">The Grant in Aid income </w:t>
      </w:r>
      <w:r w:rsidR="00611FF7" w:rsidRPr="00FF769E">
        <w:rPr>
          <w:rStyle w:val="normaltextrun1"/>
          <w:rFonts w:eastAsia="Times New Roman" w:cs="Times New Roman"/>
          <w:sz w:val="24"/>
          <w:szCs w:val="24"/>
          <w:lang w:eastAsia="en-GB"/>
        </w:rPr>
        <w:t xml:space="preserve">for the year </w:t>
      </w:r>
      <w:r w:rsidRPr="00FF769E">
        <w:rPr>
          <w:rStyle w:val="normaltextrun1"/>
          <w:rFonts w:eastAsia="Times New Roman" w:cs="Times New Roman"/>
          <w:sz w:val="24"/>
          <w:szCs w:val="24"/>
          <w:lang w:eastAsia="en-GB"/>
        </w:rPr>
        <w:t>covers income for Freedom of Information - £</w:t>
      </w:r>
      <w:r w:rsidR="003C28F5" w:rsidRPr="00FF769E">
        <w:rPr>
          <w:rStyle w:val="normaltextrun1"/>
          <w:rFonts w:eastAsia="Times New Roman" w:cs="Times New Roman"/>
          <w:sz w:val="24"/>
          <w:szCs w:val="24"/>
          <w:lang w:eastAsia="en-GB"/>
        </w:rPr>
        <w:t>4</w:t>
      </w:r>
      <w:r w:rsidRPr="00FF769E">
        <w:rPr>
          <w:rStyle w:val="normaltextrun1"/>
          <w:rFonts w:eastAsia="Times New Roman" w:cs="Times New Roman"/>
          <w:sz w:val="24"/>
          <w:szCs w:val="24"/>
          <w:lang w:eastAsia="en-GB"/>
        </w:rPr>
        <w:t>m for the full year, NIS (</w:t>
      </w:r>
      <w:hyperlink r:id="rId12" w:tgtFrame="_blank" w:tooltip="External link" w:history="1">
        <w:r w:rsidRPr="00FF769E">
          <w:rPr>
            <w:rStyle w:val="normaltextrun1"/>
            <w:rFonts w:eastAsia="Times New Roman" w:cs="Times New Roman"/>
            <w:sz w:val="24"/>
            <w:szCs w:val="24"/>
            <w:lang w:eastAsia="en-GB"/>
          </w:rPr>
          <w:t>Network and Information Systems Regulations)</w:t>
        </w:r>
      </w:hyperlink>
      <w:r w:rsidRPr="00FF769E">
        <w:rPr>
          <w:rStyle w:val="normaltextrun1"/>
          <w:rFonts w:eastAsia="Times New Roman" w:cs="Times New Roman"/>
          <w:sz w:val="24"/>
          <w:szCs w:val="24"/>
          <w:lang w:eastAsia="en-GB"/>
        </w:rPr>
        <w:t xml:space="preserve"> - £</w:t>
      </w:r>
      <w:r w:rsidR="00070CC1" w:rsidRPr="00FF769E">
        <w:rPr>
          <w:rStyle w:val="normaltextrun1"/>
          <w:rFonts w:eastAsia="Times New Roman" w:cs="Times New Roman"/>
          <w:sz w:val="24"/>
          <w:szCs w:val="24"/>
          <w:lang w:eastAsia="en-GB"/>
        </w:rPr>
        <w:t>1.2m</w:t>
      </w:r>
      <w:r w:rsidRPr="00FF769E">
        <w:rPr>
          <w:rStyle w:val="normaltextrun1"/>
          <w:rFonts w:eastAsia="Times New Roman" w:cs="Times New Roman"/>
          <w:sz w:val="24"/>
          <w:szCs w:val="24"/>
          <w:lang w:eastAsia="en-GB"/>
        </w:rPr>
        <w:t xml:space="preserve"> for the full year, </w:t>
      </w:r>
      <w:proofErr w:type="spellStart"/>
      <w:r w:rsidRPr="00FF769E">
        <w:rPr>
          <w:rStyle w:val="normaltextrun1"/>
          <w:rFonts w:eastAsia="Times New Roman" w:cs="Times New Roman"/>
          <w:sz w:val="24"/>
          <w:szCs w:val="24"/>
          <w:lang w:eastAsia="en-GB"/>
        </w:rPr>
        <w:t>eIDAS</w:t>
      </w:r>
      <w:proofErr w:type="spellEnd"/>
      <w:r w:rsidRPr="00FF769E">
        <w:rPr>
          <w:rStyle w:val="normaltextrun1"/>
          <w:rFonts w:eastAsia="Times New Roman" w:cs="Times New Roman"/>
          <w:sz w:val="24"/>
          <w:szCs w:val="24"/>
          <w:lang w:eastAsia="en-GB"/>
        </w:rPr>
        <w:t xml:space="preserve"> (electronic identification and trust services) -£</w:t>
      </w:r>
      <w:r w:rsidR="00683EBE" w:rsidRPr="00FF769E">
        <w:rPr>
          <w:rStyle w:val="normaltextrun1"/>
          <w:rFonts w:eastAsia="Times New Roman" w:cs="Times New Roman"/>
          <w:sz w:val="24"/>
          <w:szCs w:val="24"/>
          <w:lang w:eastAsia="en-GB"/>
        </w:rPr>
        <w:t>59</w:t>
      </w:r>
      <w:r w:rsidRPr="00FF769E">
        <w:rPr>
          <w:rStyle w:val="normaltextrun1"/>
          <w:rFonts w:eastAsia="Times New Roman" w:cs="Times New Roman"/>
          <w:sz w:val="24"/>
          <w:szCs w:val="24"/>
          <w:lang w:eastAsia="en-GB"/>
        </w:rPr>
        <w:t>k for the full year</w:t>
      </w:r>
      <w:r w:rsidR="00683EBE" w:rsidRPr="00FF769E">
        <w:rPr>
          <w:rStyle w:val="normaltextrun1"/>
          <w:rFonts w:eastAsia="Times New Roman" w:cs="Times New Roman"/>
          <w:sz w:val="24"/>
          <w:szCs w:val="24"/>
          <w:lang w:eastAsia="en-GB"/>
        </w:rPr>
        <w:t>, Investigatory Act £330k, Adequacy £</w:t>
      </w:r>
      <w:r w:rsidR="00316C5C" w:rsidRPr="00FF769E">
        <w:rPr>
          <w:rStyle w:val="normaltextrun1"/>
          <w:rFonts w:eastAsia="Times New Roman" w:cs="Times New Roman"/>
          <w:sz w:val="24"/>
          <w:szCs w:val="24"/>
          <w:lang w:eastAsia="en-GB"/>
        </w:rPr>
        <w:t>461k</w:t>
      </w:r>
      <w:r w:rsidR="00683EBE" w:rsidRPr="00FF769E">
        <w:rPr>
          <w:rStyle w:val="normaltextrun1"/>
          <w:rFonts w:eastAsia="Times New Roman" w:cs="Times New Roman"/>
          <w:sz w:val="24"/>
          <w:szCs w:val="24"/>
          <w:lang w:eastAsia="en-GB"/>
        </w:rPr>
        <w:t xml:space="preserve"> </w:t>
      </w:r>
      <w:r w:rsidR="003C28F5" w:rsidRPr="00FF769E">
        <w:rPr>
          <w:rStyle w:val="normaltextrun1"/>
          <w:rFonts w:eastAsia="Times New Roman" w:cs="Times New Roman"/>
          <w:sz w:val="24"/>
          <w:szCs w:val="24"/>
          <w:lang w:eastAsia="en-GB"/>
        </w:rPr>
        <w:t>and pension funding £1.4</w:t>
      </w:r>
      <w:r w:rsidR="00683EBE" w:rsidRPr="00FF769E">
        <w:rPr>
          <w:rStyle w:val="normaltextrun1"/>
          <w:rFonts w:eastAsia="Times New Roman" w:cs="Times New Roman"/>
          <w:sz w:val="24"/>
          <w:szCs w:val="24"/>
          <w:lang w:eastAsia="en-GB"/>
        </w:rPr>
        <w:t>6</w:t>
      </w:r>
      <w:r w:rsidR="003C28F5" w:rsidRPr="00FF769E">
        <w:rPr>
          <w:rStyle w:val="normaltextrun1"/>
          <w:rFonts w:eastAsia="Times New Roman" w:cs="Times New Roman"/>
          <w:sz w:val="24"/>
          <w:szCs w:val="24"/>
          <w:lang w:eastAsia="en-GB"/>
        </w:rPr>
        <w:t>m</w:t>
      </w:r>
      <w:r w:rsidRPr="00FF769E">
        <w:rPr>
          <w:rStyle w:val="normaltextrun1"/>
          <w:rFonts w:eastAsia="Times New Roman" w:cs="Times New Roman"/>
          <w:sz w:val="24"/>
          <w:szCs w:val="24"/>
          <w:lang w:eastAsia="en-GB"/>
        </w:rPr>
        <w:t>.</w:t>
      </w:r>
      <w:r w:rsidR="003C28F5" w:rsidRPr="00FF769E">
        <w:rPr>
          <w:rStyle w:val="normaltextrun1"/>
          <w:rFonts w:eastAsia="Times New Roman" w:cs="Times New Roman"/>
          <w:sz w:val="24"/>
          <w:szCs w:val="24"/>
          <w:lang w:eastAsia="en-GB"/>
        </w:rPr>
        <w:t xml:space="preserve"> These streams of </w:t>
      </w:r>
      <w:r w:rsidR="00A959E0" w:rsidRPr="00FF769E">
        <w:rPr>
          <w:rStyle w:val="normaltextrun1"/>
          <w:rFonts w:eastAsia="Times New Roman" w:cs="Times New Roman"/>
          <w:sz w:val="24"/>
          <w:szCs w:val="24"/>
          <w:lang w:eastAsia="en-GB"/>
        </w:rPr>
        <w:t>funding</w:t>
      </w:r>
      <w:r w:rsidR="003C28F5" w:rsidRPr="00FF769E">
        <w:rPr>
          <w:rStyle w:val="normaltextrun1"/>
          <w:rFonts w:eastAsia="Times New Roman" w:cs="Times New Roman"/>
          <w:sz w:val="24"/>
          <w:szCs w:val="24"/>
          <w:lang w:eastAsia="en-GB"/>
        </w:rPr>
        <w:t xml:space="preserve"> </w:t>
      </w:r>
      <w:r w:rsidR="00316C5C" w:rsidRPr="00FF769E">
        <w:rPr>
          <w:rStyle w:val="normaltextrun1"/>
          <w:rFonts w:eastAsia="Times New Roman" w:cs="Times New Roman"/>
          <w:sz w:val="24"/>
          <w:szCs w:val="24"/>
          <w:lang w:eastAsia="en-GB"/>
        </w:rPr>
        <w:t>are all paid evenly throughout the year</w:t>
      </w:r>
      <w:r w:rsidR="00FF769E">
        <w:rPr>
          <w:rStyle w:val="normaltextrun1"/>
          <w:rFonts w:eastAsia="Times New Roman" w:cs="Times New Roman"/>
          <w:sz w:val="24"/>
          <w:szCs w:val="24"/>
          <w:lang w:eastAsia="en-GB"/>
        </w:rPr>
        <w:t xml:space="preserve">. </w:t>
      </w:r>
    </w:p>
    <w:p w14:paraId="303E5C2D" w14:textId="4E260E5F" w:rsidR="006D2D51" w:rsidRDefault="006D2D51" w:rsidP="00DE650D">
      <w:pPr>
        <w:spacing w:after="120" w:line="240" w:lineRule="auto"/>
        <w:jc w:val="both"/>
        <w:rPr>
          <w:rStyle w:val="normaltextrun1"/>
          <w:rFonts w:eastAsia="Times New Roman" w:cs="Times New Roman"/>
          <w:sz w:val="24"/>
          <w:szCs w:val="24"/>
          <w:lang w:eastAsia="en-GB"/>
        </w:rPr>
      </w:pPr>
      <w:r>
        <w:rPr>
          <w:rStyle w:val="normaltextrun1"/>
          <w:rFonts w:eastAsia="Times New Roman" w:cs="Times New Roman"/>
          <w:sz w:val="24"/>
          <w:szCs w:val="24"/>
          <w:lang w:eastAsia="en-GB"/>
        </w:rPr>
        <w:t>In addition, in August, we were made aware that we had been successful in our bid for additional funding of £369k from the BEIS led Regulators’ Pioneer Fun</w:t>
      </w:r>
      <w:r w:rsidR="00BD4DBE">
        <w:rPr>
          <w:rStyle w:val="normaltextrun1"/>
          <w:rFonts w:eastAsia="Times New Roman" w:cs="Times New Roman"/>
          <w:sz w:val="24"/>
          <w:szCs w:val="24"/>
          <w:lang w:eastAsia="en-GB"/>
        </w:rPr>
        <w:t>d</w:t>
      </w:r>
      <w:r>
        <w:rPr>
          <w:rStyle w:val="normaltextrun1"/>
          <w:rFonts w:eastAsia="Times New Roman" w:cs="Times New Roman"/>
          <w:sz w:val="24"/>
          <w:szCs w:val="24"/>
          <w:lang w:eastAsia="en-GB"/>
        </w:rPr>
        <w:t>. This funding is for two specific projects regarding our technology and innovation work and must be spent in this financial year. Work is underway to resource and procure the relevant suppliers to ensu</w:t>
      </w:r>
      <w:r w:rsidR="00BD4DBE">
        <w:rPr>
          <w:rStyle w:val="normaltextrun1"/>
          <w:rFonts w:eastAsia="Times New Roman" w:cs="Times New Roman"/>
          <w:sz w:val="24"/>
          <w:szCs w:val="24"/>
          <w:lang w:eastAsia="en-GB"/>
        </w:rPr>
        <w:t xml:space="preserve">re successful delivery. </w:t>
      </w:r>
    </w:p>
    <w:p w14:paraId="3BB7C90C" w14:textId="14A89BEA" w:rsidR="00537893" w:rsidRDefault="00537893" w:rsidP="00DE650D">
      <w:pPr>
        <w:spacing w:after="120" w:line="240" w:lineRule="auto"/>
        <w:jc w:val="both"/>
        <w:rPr>
          <w:rStyle w:val="normaltextrun1"/>
          <w:rFonts w:eastAsia="Times New Roman" w:cs="Times New Roman"/>
          <w:sz w:val="24"/>
          <w:szCs w:val="24"/>
          <w:lang w:eastAsia="en-GB"/>
        </w:rPr>
      </w:pPr>
    </w:p>
    <w:p w14:paraId="136F7D54" w14:textId="50D1BCA1" w:rsidR="00316C5C" w:rsidRPr="002C088B" w:rsidRDefault="00316C5C" w:rsidP="00B12ACD">
      <w:pPr>
        <w:spacing w:after="120"/>
        <w:jc w:val="both"/>
        <w:rPr>
          <w:b/>
          <w:sz w:val="24"/>
          <w:szCs w:val="24"/>
        </w:rPr>
      </w:pPr>
      <w:r w:rsidRPr="002C088B">
        <w:rPr>
          <w:b/>
          <w:sz w:val="24"/>
          <w:szCs w:val="24"/>
        </w:rPr>
        <w:t>DP Fee Income</w:t>
      </w:r>
    </w:p>
    <w:p w14:paraId="70FEC6F3" w14:textId="318245CF" w:rsidR="00316C5C" w:rsidRDefault="00EE7186" w:rsidP="00B12ACD">
      <w:pPr>
        <w:spacing w:after="120"/>
        <w:jc w:val="both"/>
        <w:rPr>
          <w:sz w:val="24"/>
          <w:szCs w:val="24"/>
        </w:rPr>
      </w:pPr>
      <w:r>
        <w:rPr>
          <w:sz w:val="24"/>
          <w:szCs w:val="24"/>
        </w:rPr>
        <w:t>The following shows the monthly forecast and the year to date actuals</w:t>
      </w:r>
    </w:p>
    <w:tbl>
      <w:tblPr>
        <w:tblStyle w:val="TableGrid"/>
        <w:tblW w:w="0" w:type="auto"/>
        <w:tblLook w:val="04A0" w:firstRow="1" w:lastRow="0" w:firstColumn="1" w:lastColumn="0" w:noHBand="0" w:noVBand="1"/>
      </w:tblPr>
      <w:tblGrid>
        <w:gridCol w:w="1752"/>
        <w:gridCol w:w="1655"/>
        <w:gridCol w:w="1656"/>
        <w:gridCol w:w="1656"/>
        <w:gridCol w:w="1656"/>
        <w:gridCol w:w="1656"/>
      </w:tblGrid>
      <w:tr w:rsidR="00EE7186" w14:paraId="3296E479" w14:textId="19615781" w:rsidTr="00EE7186">
        <w:tc>
          <w:tcPr>
            <w:tcW w:w="1752" w:type="dxa"/>
          </w:tcPr>
          <w:p w14:paraId="69151915" w14:textId="53C8AFDA" w:rsidR="00EE7186" w:rsidRDefault="00EE7186" w:rsidP="00B12ACD">
            <w:pPr>
              <w:spacing w:after="120"/>
              <w:jc w:val="both"/>
              <w:rPr>
                <w:sz w:val="24"/>
                <w:szCs w:val="24"/>
              </w:rPr>
            </w:pPr>
            <w:r>
              <w:rPr>
                <w:sz w:val="24"/>
                <w:szCs w:val="24"/>
              </w:rPr>
              <w:t>Month</w:t>
            </w:r>
          </w:p>
        </w:tc>
        <w:tc>
          <w:tcPr>
            <w:tcW w:w="1655" w:type="dxa"/>
          </w:tcPr>
          <w:p w14:paraId="697032F6" w14:textId="72F6347E" w:rsidR="00EE7186" w:rsidRDefault="00EE7186" w:rsidP="00B12ACD">
            <w:pPr>
              <w:spacing w:after="120"/>
              <w:jc w:val="both"/>
              <w:rPr>
                <w:sz w:val="24"/>
                <w:szCs w:val="24"/>
              </w:rPr>
            </w:pPr>
            <w:r>
              <w:rPr>
                <w:sz w:val="24"/>
                <w:szCs w:val="24"/>
              </w:rPr>
              <w:t>Forecast £</w:t>
            </w:r>
          </w:p>
        </w:tc>
        <w:tc>
          <w:tcPr>
            <w:tcW w:w="1656" w:type="dxa"/>
          </w:tcPr>
          <w:p w14:paraId="105FFCA2" w14:textId="199E8F90" w:rsidR="00EE7186" w:rsidRDefault="00EE7186" w:rsidP="00B12ACD">
            <w:pPr>
              <w:spacing w:after="120"/>
              <w:jc w:val="both"/>
              <w:rPr>
                <w:sz w:val="24"/>
                <w:szCs w:val="24"/>
              </w:rPr>
            </w:pPr>
            <w:r>
              <w:rPr>
                <w:sz w:val="24"/>
                <w:szCs w:val="24"/>
              </w:rPr>
              <w:t>Actual £</w:t>
            </w:r>
          </w:p>
        </w:tc>
        <w:tc>
          <w:tcPr>
            <w:tcW w:w="1656" w:type="dxa"/>
          </w:tcPr>
          <w:p w14:paraId="4D6B9098" w14:textId="6A48B3EA" w:rsidR="00EE7186" w:rsidRDefault="00EE7186" w:rsidP="00B12ACD">
            <w:pPr>
              <w:spacing w:after="120"/>
              <w:jc w:val="both"/>
              <w:rPr>
                <w:sz w:val="24"/>
                <w:szCs w:val="24"/>
              </w:rPr>
            </w:pPr>
            <w:r>
              <w:rPr>
                <w:sz w:val="24"/>
                <w:szCs w:val="24"/>
              </w:rPr>
              <w:t>Year to date forecast £</w:t>
            </w:r>
          </w:p>
        </w:tc>
        <w:tc>
          <w:tcPr>
            <w:tcW w:w="1656" w:type="dxa"/>
          </w:tcPr>
          <w:p w14:paraId="2455FCDA" w14:textId="022B18D0" w:rsidR="00EE7186" w:rsidRDefault="00EE7186" w:rsidP="00B12ACD">
            <w:pPr>
              <w:spacing w:after="120"/>
              <w:jc w:val="both"/>
              <w:rPr>
                <w:sz w:val="24"/>
                <w:szCs w:val="24"/>
              </w:rPr>
            </w:pPr>
            <w:r>
              <w:rPr>
                <w:sz w:val="24"/>
                <w:szCs w:val="24"/>
              </w:rPr>
              <w:t>Year to date actual £</w:t>
            </w:r>
          </w:p>
        </w:tc>
        <w:tc>
          <w:tcPr>
            <w:tcW w:w="1656" w:type="dxa"/>
          </w:tcPr>
          <w:p w14:paraId="4666B911" w14:textId="082A8AF3" w:rsidR="00EE7186" w:rsidRDefault="00EE7186" w:rsidP="00B12ACD">
            <w:pPr>
              <w:spacing w:after="120"/>
              <w:jc w:val="both"/>
              <w:rPr>
                <w:sz w:val="24"/>
                <w:szCs w:val="24"/>
              </w:rPr>
            </w:pPr>
            <w:r>
              <w:rPr>
                <w:sz w:val="24"/>
                <w:szCs w:val="24"/>
              </w:rPr>
              <w:t>Variance £</w:t>
            </w:r>
          </w:p>
        </w:tc>
      </w:tr>
      <w:tr w:rsidR="00360684" w14:paraId="30363BAF" w14:textId="56F23F2D" w:rsidTr="001350A8">
        <w:tc>
          <w:tcPr>
            <w:tcW w:w="1752" w:type="dxa"/>
          </w:tcPr>
          <w:p w14:paraId="61C7B3D9" w14:textId="3BB60EB6" w:rsidR="00360684" w:rsidRDefault="00360684" w:rsidP="00360684">
            <w:pPr>
              <w:spacing w:after="120"/>
              <w:jc w:val="both"/>
              <w:rPr>
                <w:sz w:val="24"/>
                <w:szCs w:val="24"/>
              </w:rPr>
            </w:pPr>
            <w:r>
              <w:rPr>
                <w:sz w:val="24"/>
                <w:szCs w:val="24"/>
              </w:rPr>
              <w:t>April</w:t>
            </w:r>
          </w:p>
        </w:tc>
        <w:tc>
          <w:tcPr>
            <w:tcW w:w="1655" w:type="dxa"/>
            <w:vAlign w:val="center"/>
          </w:tcPr>
          <w:p w14:paraId="454B6705" w14:textId="72462531" w:rsidR="00360684" w:rsidRDefault="00360684" w:rsidP="00360684">
            <w:pPr>
              <w:spacing w:after="120"/>
              <w:jc w:val="center"/>
              <w:rPr>
                <w:sz w:val="24"/>
                <w:szCs w:val="24"/>
              </w:rPr>
            </w:pPr>
            <w:r>
              <w:rPr>
                <w:rFonts w:cs="Calibri"/>
                <w:color w:val="000000"/>
              </w:rPr>
              <w:t>3,789,086</w:t>
            </w:r>
          </w:p>
        </w:tc>
        <w:tc>
          <w:tcPr>
            <w:tcW w:w="1656" w:type="dxa"/>
          </w:tcPr>
          <w:p w14:paraId="78BC06D3" w14:textId="3137F345" w:rsidR="00360684" w:rsidRPr="00F53F3A" w:rsidRDefault="00360684" w:rsidP="00360684">
            <w:pPr>
              <w:spacing w:after="120"/>
              <w:jc w:val="both"/>
              <w:rPr>
                <w:rFonts w:cs="Calibri"/>
                <w:color w:val="000000"/>
              </w:rPr>
            </w:pPr>
            <w:r w:rsidRPr="00F53F3A">
              <w:rPr>
                <w:rFonts w:cs="Calibri"/>
                <w:color w:val="000000"/>
              </w:rPr>
              <w:t>4,716,571</w:t>
            </w:r>
          </w:p>
        </w:tc>
        <w:tc>
          <w:tcPr>
            <w:tcW w:w="1656" w:type="dxa"/>
            <w:vAlign w:val="center"/>
          </w:tcPr>
          <w:p w14:paraId="605ECEF3" w14:textId="7AFBE3DF" w:rsidR="00360684" w:rsidRPr="00F53F3A" w:rsidRDefault="00360684" w:rsidP="00360684">
            <w:pPr>
              <w:spacing w:after="120"/>
              <w:jc w:val="both"/>
              <w:rPr>
                <w:rFonts w:cs="Calibri"/>
                <w:color w:val="000000"/>
              </w:rPr>
            </w:pPr>
            <w:r>
              <w:rPr>
                <w:rFonts w:cs="Calibri"/>
                <w:color w:val="000000"/>
              </w:rPr>
              <w:t>3,789,086</w:t>
            </w:r>
          </w:p>
        </w:tc>
        <w:tc>
          <w:tcPr>
            <w:tcW w:w="1656" w:type="dxa"/>
          </w:tcPr>
          <w:p w14:paraId="2509005F" w14:textId="2C61C8D1" w:rsidR="00360684" w:rsidRPr="00F53F3A" w:rsidRDefault="00360684" w:rsidP="00360684">
            <w:pPr>
              <w:spacing w:after="120"/>
              <w:jc w:val="both"/>
              <w:rPr>
                <w:rFonts w:cs="Calibri"/>
                <w:color w:val="000000"/>
              </w:rPr>
            </w:pPr>
            <w:r w:rsidRPr="00F53F3A">
              <w:rPr>
                <w:rFonts w:cs="Calibri"/>
                <w:color w:val="000000"/>
              </w:rPr>
              <w:t>4,716,571</w:t>
            </w:r>
          </w:p>
        </w:tc>
        <w:tc>
          <w:tcPr>
            <w:tcW w:w="1656" w:type="dxa"/>
          </w:tcPr>
          <w:p w14:paraId="266E829B" w14:textId="4809A15F" w:rsidR="00360684" w:rsidRPr="00F53F3A" w:rsidRDefault="00F53F3A" w:rsidP="00360684">
            <w:pPr>
              <w:spacing w:after="120"/>
              <w:jc w:val="both"/>
              <w:rPr>
                <w:rFonts w:cs="Calibri"/>
                <w:color w:val="000000"/>
              </w:rPr>
            </w:pPr>
            <w:r w:rsidRPr="00F53F3A">
              <w:rPr>
                <w:rFonts w:cs="Calibri"/>
                <w:color w:val="000000"/>
              </w:rPr>
              <w:t>+927,485</w:t>
            </w:r>
          </w:p>
        </w:tc>
      </w:tr>
      <w:tr w:rsidR="002C088B" w14:paraId="4BF940DD" w14:textId="75A6279C" w:rsidTr="007E3028">
        <w:tc>
          <w:tcPr>
            <w:tcW w:w="1752" w:type="dxa"/>
          </w:tcPr>
          <w:p w14:paraId="2B9C88A2" w14:textId="0D638D92" w:rsidR="002C088B" w:rsidRDefault="002C088B" w:rsidP="002C088B">
            <w:pPr>
              <w:spacing w:after="120"/>
              <w:jc w:val="both"/>
              <w:rPr>
                <w:sz w:val="24"/>
                <w:szCs w:val="24"/>
              </w:rPr>
            </w:pPr>
            <w:r>
              <w:rPr>
                <w:sz w:val="24"/>
                <w:szCs w:val="24"/>
              </w:rPr>
              <w:t>May</w:t>
            </w:r>
          </w:p>
        </w:tc>
        <w:tc>
          <w:tcPr>
            <w:tcW w:w="1655" w:type="dxa"/>
            <w:vAlign w:val="center"/>
          </w:tcPr>
          <w:p w14:paraId="2F328372" w14:textId="12D6C945" w:rsidR="002C088B" w:rsidRPr="002A6DD5" w:rsidRDefault="002C088B" w:rsidP="002C088B">
            <w:pPr>
              <w:spacing w:after="120"/>
              <w:jc w:val="center"/>
              <w:rPr>
                <w:rFonts w:cs="Calibri"/>
                <w:color w:val="000000"/>
              </w:rPr>
            </w:pPr>
            <w:r>
              <w:rPr>
                <w:rFonts w:cs="Calibri"/>
                <w:color w:val="000000"/>
              </w:rPr>
              <w:t>5,180,096</w:t>
            </w:r>
          </w:p>
        </w:tc>
        <w:tc>
          <w:tcPr>
            <w:tcW w:w="1656" w:type="dxa"/>
          </w:tcPr>
          <w:p w14:paraId="3FE98907" w14:textId="55A37E37" w:rsidR="002C088B" w:rsidRPr="002A6DD5" w:rsidRDefault="00695B9B" w:rsidP="002C088B">
            <w:pPr>
              <w:spacing w:after="120"/>
              <w:jc w:val="both"/>
              <w:rPr>
                <w:rFonts w:cs="Calibri"/>
                <w:color w:val="000000"/>
              </w:rPr>
            </w:pPr>
            <w:r>
              <w:rPr>
                <w:rFonts w:cs="Calibri"/>
                <w:color w:val="000000"/>
              </w:rPr>
              <w:t>4,659,857</w:t>
            </w:r>
          </w:p>
        </w:tc>
        <w:tc>
          <w:tcPr>
            <w:tcW w:w="1656" w:type="dxa"/>
          </w:tcPr>
          <w:p w14:paraId="7D3A987F" w14:textId="63D42290" w:rsidR="002C088B" w:rsidRPr="002A6DD5" w:rsidRDefault="002C088B" w:rsidP="002C088B">
            <w:pPr>
              <w:spacing w:after="120"/>
              <w:jc w:val="both"/>
              <w:rPr>
                <w:rFonts w:cs="Calibri"/>
                <w:color w:val="000000"/>
              </w:rPr>
            </w:pPr>
            <w:r w:rsidRPr="002A6DD5">
              <w:rPr>
                <w:rFonts w:cs="Calibri"/>
                <w:color w:val="000000"/>
              </w:rPr>
              <w:t>8,969,182</w:t>
            </w:r>
          </w:p>
        </w:tc>
        <w:tc>
          <w:tcPr>
            <w:tcW w:w="1656" w:type="dxa"/>
          </w:tcPr>
          <w:p w14:paraId="423AD7AC" w14:textId="168D4889" w:rsidR="002C088B" w:rsidRPr="002A6DD5" w:rsidRDefault="00CB7801" w:rsidP="002C088B">
            <w:pPr>
              <w:spacing w:after="120"/>
              <w:jc w:val="both"/>
              <w:rPr>
                <w:rFonts w:cs="Calibri"/>
                <w:color w:val="000000"/>
              </w:rPr>
            </w:pPr>
            <w:r w:rsidRPr="00CB7801">
              <w:rPr>
                <w:rFonts w:cs="Calibri"/>
                <w:color w:val="000000"/>
              </w:rPr>
              <w:t>9,</w:t>
            </w:r>
            <w:r w:rsidR="00E01E7C">
              <w:rPr>
                <w:rFonts w:cs="Calibri"/>
                <w:color w:val="000000"/>
              </w:rPr>
              <w:t>376,428</w:t>
            </w:r>
          </w:p>
        </w:tc>
        <w:tc>
          <w:tcPr>
            <w:tcW w:w="1656" w:type="dxa"/>
          </w:tcPr>
          <w:p w14:paraId="024A7A6C" w14:textId="34AAC027" w:rsidR="002C088B" w:rsidRPr="002A6DD5" w:rsidRDefault="00CB7801" w:rsidP="002A6DD5">
            <w:pPr>
              <w:spacing w:after="120"/>
              <w:jc w:val="both"/>
              <w:rPr>
                <w:rFonts w:cs="Calibri"/>
                <w:color w:val="000000"/>
              </w:rPr>
            </w:pPr>
            <w:r w:rsidRPr="002A6DD5">
              <w:rPr>
                <w:rFonts w:cs="Calibri"/>
                <w:color w:val="000000"/>
              </w:rPr>
              <w:t>+</w:t>
            </w:r>
            <w:r w:rsidR="002A6DD5" w:rsidRPr="002A6DD5">
              <w:rPr>
                <w:rFonts w:cs="Calibri"/>
                <w:color w:val="000000"/>
              </w:rPr>
              <w:t>407,246</w:t>
            </w:r>
          </w:p>
        </w:tc>
      </w:tr>
      <w:tr w:rsidR="002C088B" w14:paraId="188BECA2" w14:textId="44A0E297" w:rsidTr="007E3028">
        <w:tc>
          <w:tcPr>
            <w:tcW w:w="1752" w:type="dxa"/>
          </w:tcPr>
          <w:p w14:paraId="343A3A86" w14:textId="66011CB5" w:rsidR="002C088B" w:rsidRDefault="002C088B" w:rsidP="002C088B">
            <w:pPr>
              <w:spacing w:after="120"/>
              <w:jc w:val="both"/>
              <w:rPr>
                <w:sz w:val="24"/>
                <w:szCs w:val="24"/>
              </w:rPr>
            </w:pPr>
            <w:r>
              <w:rPr>
                <w:sz w:val="24"/>
                <w:szCs w:val="24"/>
              </w:rPr>
              <w:t>June</w:t>
            </w:r>
          </w:p>
        </w:tc>
        <w:tc>
          <w:tcPr>
            <w:tcW w:w="1655" w:type="dxa"/>
            <w:vAlign w:val="center"/>
          </w:tcPr>
          <w:p w14:paraId="38E3F129" w14:textId="338EE774" w:rsidR="002C088B" w:rsidRDefault="002C088B" w:rsidP="002C088B">
            <w:pPr>
              <w:spacing w:after="120"/>
              <w:jc w:val="center"/>
              <w:rPr>
                <w:sz w:val="24"/>
                <w:szCs w:val="24"/>
              </w:rPr>
            </w:pPr>
            <w:r>
              <w:rPr>
                <w:rFonts w:cs="Calibri"/>
                <w:color w:val="000000"/>
              </w:rPr>
              <w:t>4,804,415</w:t>
            </w:r>
          </w:p>
        </w:tc>
        <w:tc>
          <w:tcPr>
            <w:tcW w:w="1656" w:type="dxa"/>
          </w:tcPr>
          <w:p w14:paraId="1BA77A81" w14:textId="790C2969" w:rsidR="002C088B" w:rsidRDefault="00A72C68" w:rsidP="002C088B">
            <w:pPr>
              <w:spacing w:after="120"/>
              <w:jc w:val="both"/>
              <w:rPr>
                <w:sz w:val="24"/>
                <w:szCs w:val="24"/>
              </w:rPr>
            </w:pPr>
            <w:r w:rsidRPr="00A72C68">
              <w:rPr>
                <w:rFonts w:cs="Calibri"/>
                <w:color w:val="000000"/>
              </w:rPr>
              <w:t>5,071,242</w:t>
            </w:r>
          </w:p>
        </w:tc>
        <w:tc>
          <w:tcPr>
            <w:tcW w:w="1656" w:type="dxa"/>
          </w:tcPr>
          <w:p w14:paraId="03135AB8" w14:textId="5C3EC767" w:rsidR="002C088B" w:rsidRDefault="002C088B" w:rsidP="002C088B">
            <w:pPr>
              <w:spacing w:after="120"/>
              <w:jc w:val="both"/>
              <w:rPr>
                <w:sz w:val="24"/>
                <w:szCs w:val="24"/>
              </w:rPr>
            </w:pPr>
            <w:r w:rsidRPr="006B7DE5">
              <w:t>13,773,597</w:t>
            </w:r>
          </w:p>
        </w:tc>
        <w:tc>
          <w:tcPr>
            <w:tcW w:w="1656" w:type="dxa"/>
          </w:tcPr>
          <w:p w14:paraId="4DF0E652" w14:textId="3A34797F" w:rsidR="002C088B" w:rsidRDefault="008638F2" w:rsidP="002C088B">
            <w:pPr>
              <w:spacing w:after="120"/>
              <w:jc w:val="both"/>
              <w:rPr>
                <w:sz w:val="24"/>
                <w:szCs w:val="24"/>
              </w:rPr>
            </w:pPr>
            <w:r w:rsidRPr="00292086">
              <w:rPr>
                <w:rFonts w:cs="Calibri"/>
                <w:color w:val="000000"/>
              </w:rPr>
              <w:t>14,447,670</w:t>
            </w:r>
          </w:p>
        </w:tc>
        <w:tc>
          <w:tcPr>
            <w:tcW w:w="1656" w:type="dxa"/>
          </w:tcPr>
          <w:p w14:paraId="6B21942B" w14:textId="0C48D29E" w:rsidR="002C088B" w:rsidRDefault="00A72C68" w:rsidP="002C088B">
            <w:pPr>
              <w:spacing w:after="120"/>
              <w:jc w:val="both"/>
              <w:rPr>
                <w:sz w:val="24"/>
                <w:szCs w:val="24"/>
              </w:rPr>
            </w:pPr>
            <w:r w:rsidRPr="00A72C68">
              <w:rPr>
                <w:rFonts w:cs="Calibri"/>
                <w:color w:val="000000"/>
              </w:rPr>
              <w:t>+674,073</w:t>
            </w:r>
          </w:p>
        </w:tc>
      </w:tr>
      <w:tr w:rsidR="002C088B" w14:paraId="513C79C3" w14:textId="79A2E187" w:rsidTr="007E3028">
        <w:tc>
          <w:tcPr>
            <w:tcW w:w="1752" w:type="dxa"/>
          </w:tcPr>
          <w:p w14:paraId="4B01C7A3" w14:textId="3A43EB6F" w:rsidR="002C088B" w:rsidRDefault="002C088B" w:rsidP="002C088B">
            <w:pPr>
              <w:spacing w:after="120"/>
              <w:jc w:val="both"/>
              <w:rPr>
                <w:sz w:val="24"/>
                <w:szCs w:val="24"/>
              </w:rPr>
            </w:pPr>
            <w:r>
              <w:rPr>
                <w:sz w:val="24"/>
                <w:szCs w:val="24"/>
              </w:rPr>
              <w:t>July</w:t>
            </w:r>
          </w:p>
        </w:tc>
        <w:tc>
          <w:tcPr>
            <w:tcW w:w="1655" w:type="dxa"/>
            <w:vAlign w:val="center"/>
          </w:tcPr>
          <w:p w14:paraId="1E549F52" w14:textId="427E0D18" w:rsidR="002C088B" w:rsidRDefault="002C088B" w:rsidP="002C088B">
            <w:pPr>
              <w:spacing w:after="120"/>
              <w:jc w:val="center"/>
              <w:rPr>
                <w:sz w:val="24"/>
                <w:szCs w:val="24"/>
              </w:rPr>
            </w:pPr>
            <w:r>
              <w:rPr>
                <w:rFonts w:cs="Calibri"/>
                <w:color w:val="000000"/>
              </w:rPr>
              <w:t>4,828,908</w:t>
            </w:r>
          </w:p>
        </w:tc>
        <w:tc>
          <w:tcPr>
            <w:tcW w:w="1656" w:type="dxa"/>
          </w:tcPr>
          <w:p w14:paraId="2F70BDDE" w14:textId="260A3E39" w:rsidR="002C088B" w:rsidRDefault="0025084E" w:rsidP="0025084E">
            <w:pPr>
              <w:spacing w:after="120"/>
              <w:rPr>
                <w:sz w:val="24"/>
                <w:szCs w:val="24"/>
              </w:rPr>
            </w:pPr>
            <w:r w:rsidRPr="0025084E">
              <w:rPr>
                <w:rFonts w:cs="Calibri"/>
                <w:color w:val="000000"/>
              </w:rPr>
              <w:t>5,051,163</w:t>
            </w:r>
          </w:p>
        </w:tc>
        <w:tc>
          <w:tcPr>
            <w:tcW w:w="1656" w:type="dxa"/>
          </w:tcPr>
          <w:p w14:paraId="1330C684" w14:textId="6F749321" w:rsidR="002C088B" w:rsidRDefault="002C088B" w:rsidP="002C088B">
            <w:pPr>
              <w:spacing w:after="120"/>
              <w:jc w:val="both"/>
              <w:rPr>
                <w:sz w:val="24"/>
                <w:szCs w:val="24"/>
              </w:rPr>
            </w:pPr>
            <w:r w:rsidRPr="006B7DE5">
              <w:t>18,602,505</w:t>
            </w:r>
          </w:p>
        </w:tc>
        <w:tc>
          <w:tcPr>
            <w:tcW w:w="1656" w:type="dxa"/>
          </w:tcPr>
          <w:p w14:paraId="54E13485" w14:textId="24E48069" w:rsidR="002C088B" w:rsidRPr="0025084E" w:rsidRDefault="0025084E" w:rsidP="0025084E">
            <w:pPr>
              <w:spacing w:after="120"/>
              <w:jc w:val="both"/>
              <w:rPr>
                <w:rFonts w:cs="Calibri"/>
                <w:color w:val="000000"/>
              </w:rPr>
            </w:pPr>
            <w:r w:rsidRPr="0025084E">
              <w:rPr>
                <w:rFonts w:cs="Calibri"/>
                <w:color w:val="000000"/>
              </w:rPr>
              <w:t>19</w:t>
            </w:r>
            <w:r>
              <w:rPr>
                <w:rFonts w:cs="Calibri"/>
                <w:color w:val="000000"/>
              </w:rPr>
              <w:t>,</w:t>
            </w:r>
            <w:r w:rsidRPr="0025084E">
              <w:rPr>
                <w:rFonts w:cs="Calibri"/>
                <w:color w:val="000000"/>
              </w:rPr>
              <w:t>498</w:t>
            </w:r>
            <w:r>
              <w:rPr>
                <w:rFonts w:cs="Calibri"/>
                <w:color w:val="000000"/>
              </w:rPr>
              <w:t>,</w:t>
            </w:r>
            <w:r w:rsidRPr="0025084E">
              <w:rPr>
                <w:rFonts w:cs="Calibri"/>
                <w:color w:val="000000"/>
              </w:rPr>
              <w:t>833</w:t>
            </w:r>
          </w:p>
        </w:tc>
        <w:tc>
          <w:tcPr>
            <w:tcW w:w="1656" w:type="dxa"/>
          </w:tcPr>
          <w:p w14:paraId="78B2EF53" w14:textId="5995F902" w:rsidR="002C088B" w:rsidRPr="0025084E" w:rsidRDefault="0025084E" w:rsidP="0025084E">
            <w:pPr>
              <w:spacing w:after="120"/>
              <w:jc w:val="both"/>
              <w:rPr>
                <w:rFonts w:cs="Calibri"/>
                <w:color w:val="000000"/>
              </w:rPr>
            </w:pPr>
            <w:r>
              <w:rPr>
                <w:rFonts w:cs="Calibri"/>
                <w:color w:val="000000"/>
              </w:rPr>
              <w:t>+</w:t>
            </w:r>
            <w:r w:rsidRPr="0025084E">
              <w:rPr>
                <w:rFonts w:cs="Calibri"/>
                <w:color w:val="000000"/>
              </w:rPr>
              <w:t>896</w:t>
            </w:r>
            <w:r>
              <w:rPr>
                <w:rFonts w:cs="Calibri"/>
                <w:color w:val="000000"/>
              </w:rPr>
              <w:t>,</w:t>
            </w:r>
            <w:r w:rsidRPr="0025084E">
              <w:rPr>
                <w:rFonts w:cs="Calibri"/>
                <w:color w:val="000000"/>
              </w:rPr>
              <w:t>328</w:t>
            </w:r>
          </w:p>
        </w:tc>
      </w:tr>
      <w:tr w:rsidR="002C088B" w14:paraId="2D951143" w14:textId="0B13E493" w:rsidTr="007E3028">
        <w:tc>
          <w:tcPr>
            <w:tcW w:w="1752" w:type="dxa"/>
          </w:tcPr>
          <w:p w14:paraId="18181671" w14:textId="00E3E218" w:rsidR="002C088B" w:rsidRDefault="002C088B" w:rsidP="002C088B">
            <w:pPr>
              <w:spacing w:after="120"/>
              <w:jc w:val="both"/>
              <w:rPr>
                <w:sz w:val="24"/>
                <w:szCs w:val="24"/>
              </w:rPr>
            </w:pPr>
            <w:r>
              <w:rPr>
                <w:sz w:val="24"/>
                <w:szCs w:val="24"/>
              </w:rPr>
              <w:t>August</w:t>
            </w:r>
          </w:p>
        </w:tc>
        <w:tc>
          <w:tcPr>
            <w:tcW w:w="1655" w:type="dxa"/>
            <w:vAlign w:val="center"/>
          </w:tcPr>
          <w:p w14:paraId="6F21B667" w14:textId="58EC3ADF" w:rsidR="002C088B" w:rsidRDefault="002C088B" w:rsidP="002C088B">
            <w:pPr>
              <w:spacing w:after="120"/>
              <w:jc w:val="center"/>
              <w:rPr>
                <w:sz w:val="24"/>
                <w:szCs w:val="24"/>
              </w:rPr>
            </w:pPr>
            <w:r>
              <w:rPr>
                <w:rFonts w:cs="Calibri"/>
                <w:color w:val="000000"/>
              </w:rPr>
              <w:t>4,727,303</w:t>
            </w:r>
          </w:p>
        </w:tc>
        <w:tc>
          <w:tcPr>
            <w:tcW w:w="1656" w:type="dxa"/>
          </w:tcPr>
          <w:p w14:paraId="7B5F86F3" w14:textId="20887655" w:rsidR="002C088B" w:rsidRDefault="00F35E84" w:rsidP="00F222A9">
            <w:pPr>
              <w:spacing w:after="120"/>
              <w:rPr>
                <w:sz w:val="24"/>
                <w:szCs w:val="24"/>
              </w:rPr>
            </w:pPr>
            <w:r w:rsidRPr="00F222A9">
              <w:rPr>
                <w:rFonts w:cs="Calibri"/>
                <w:color w:val="000000"/>
              </w:rPr>
              <w:t>4,6</w:t>
            </w:r>
            <w:r w:rsidR="00F222A9" w:rsidRPr="00F222A9">
              <w:rPr>
                <w:rFonts w:cs="Calibri"/>
                <w:color w:val="000000"/>
              </w:rPr>
              <w:t>32,096</w:t>
            </w:r>
          </w:p>
        </w:tc>
        <w:tc>
          <w:tcPr>
            <w:tcW w:w="1656" w:type="dxa"/>
          </w:tcPr>
          <w:p w14:paraId="1AC90A19" w14:textId="663D5B96" w:rsidR="002C088B" w:rsidRDefault="002C088B" w:rsidP="002C088B">
            <w:pPr>
              <w:spacing w:after="120"/>
              <w:jc w:val="both"/>
              <w:rPr>
                <w:sz w:val="24"/>
                <w:szCs w:val="24"/>
              </w:rPr>
            </w:pPr>
            <w:r w:rsidRPr="006B7DE5">
              <w:t>23,329,808</w:t>
            </w:r>
          </w:p>
        </w:tc>
        <w:tc>
          <w:tcPr>
            <w:tcW w:w="1656" w:type="dxa"/>
          </w:tcPr>
          <w:p w14:paraId="44349115" w14:textId="6946D8F3" w:rsidR="002C088B" w:rsidRPr="00F222A9" w:rsidRDefault="00F222A9" w:rsidP="00F222A9">
            <w:pPr>
              <w:spacing w:after="120"/>
              <w:jc w:val="both"/>
              <w:rPr>
                <w:color w:val="000000"/>
                <w:sz w:val="20"/>
                <w:szCs w:val="20"/>
              </w:rPr>
            </w:pPr>
            <w:r w:rsidRPr="00F222A9">
              <w:t>24,130,929</w:t>
            </w:r>
          </w:p>
        </w:tc>
        <w:tc>
          <w:tcPr>
            <w:tcW w:w="1656" w:type="dxa"/>
          </w:tcPr>
          <w:p w14:paraId="1534A044" w14:textId="762D78CB" w:rsidR="002C088B" w:rsidRDefault="00F222A9" w:rsidP="002C088B">
            <w:pPr>
              <w:spacing w:after="120"/>
              <w:jc w:val="both"/>
              <w:rPr>
                <w:sz w:val="24"/>
                <w:szCs w:val="24"/>
              </w:rPr>
            </w:pPr>
            <w:r w:rsidRPr="00F222A9">
              <w:rPr>
                <w:rFonts w:cs="Calibri"/>
                <w:color w:val="000000"/>
              </w:rPr>
              <w:t>+801,121</w:t>
            </w:r>
          </w:p>
        </w:tc>
      </w:tr>
      <w:tr w:rsidR="002C088B" w14:paraId="62178182" w14:textId="1BFC114D" w:rsidTr="007E3028">
        <w:tc>
          <w:tcPr>
            <w:tcW w:w="1752" w:type="dxa"/>
          </w:tcPr>
          <w:p w14:paraId="4AC40950" w14:textId="3C1038A5" w:rsidR="002C088B" w:rsidRDefault="002C088B" w:rsidP="002C088B">
            <w:pPr>
              <w:spacing w:after="120"/>
              <w:jc w:val="both"/>
              <w:rPr>
                <w:sz w:val="24"/>
                <w:szCs w:val="24"/>
              </w:rPr>
            </w:pPr>
            <w:r>
              <w:rPr>
                <w:sz w:val="24"/>
                <w:szCs w:val="24"/>
              </w:rPr>
              <w:t>September</w:t>
            </w:r>
          </w:p>
        </w:tc>
        <w:tc>
          <w:tcPr>
            <w:tcW w:w="1655" w:type="dxa"/>
            <w:vAlign w:val="center"/>
          </w:tcPr>
          <w:p w14:paraId="5DA610F6" w14:textId="56A7C325" w:rsidR="002C088B" w:rsidRDefault="002C088B" w:rsidP="002C088B">
            <w:pPr>
              <w:spacing w:after="120"/>
              <w:jc w:val="center"/>
              <w:rPr>
                <w:sz w:val="24"/>
                <w:szCs w:val="24"/>
              </w:rPr>
            </w:pPr>
            <w:r>
              <w:rPr>
                <w:rFonts w:cs="Calibri"/>
                <w:color w:val="000000"/>
              </w:rPr>
              <w:t>4,865,002</w:t>
            </w:r>
          </w:p>
        </w:tc>
        <w:tc>
          <w:tcPr>
            <w:tcW w:w="1656" w:type="dxa"/>
          </w:tcPr>
          <w:p w14:paraId="46E59179" w14:textId="77777777" w:rsidR="002C088B" w:rsidRDefault="002C088B" w:rsidP="002C088B">
            <w:pPr>
              <w:spacing w:after="120"/>
              <w:jc w:val="both"/>
              <w:rPr>
                <w:sz w:val="24"/>
                <w:szCs w:val="24"/>
              </w:rPr>
            </w:pPr>
          </w:p>
        </w:tc>
        <w:tc>
          <w:tcPr>
            <w:tcW w:w="1656" w:type="dxa"/>
          </w:tcPr>
          <w:p w14:paraId="700A9C35" w14:textId="5AEF7A68" w:rsidR="002C088B" w:rsidRDefault="002C088B" w:rsidP="002C088B">
            <w:pPr>
              <w:spacing w:after="120"/>
              <w:jc w:val="both"/>
              <w:rPr>
                <w:sz w:val="24"/>
                <w:szCs w:val="24"/>
              </w:rPr>
            </w:pPr>
            <w:r w:rsidRPr="006B7DE5">
              <w:t>28,194,810</w:t>
            </w:r>
          </w:p>
        </w:tc>
        <w:tc>
          <w:tcPr>
            <w:tcW w:w="1656" w:type="dxa"/>
          </w:tcPr>
          <w:p w14:paraId="18B25375" w14:textId="77777777" w:rsidR="002C088B" w:rsidRDefault="002C088B" w:rsidP="002C088B">
            <w:pPr>
              <w:spacing w:after="120"/>
              <w:jc w:val="both"/>
              <w:rPr>
                <w:sz w:val="24"/>
                <w:szCs w:val="24"/>
              </w:rPr>
            </w:pPr>
          </w:p>
        </w:tc>
        <w:tc>
          <w:tcPr>
            <w:tcW w:w="1656" w:type="dxa"/>
          </w:tcPr>
          <w:p w14:paraId="303074B7" w14:textId="77777777" w:rsidR="002C088B" w:rsidRDefault="002C088B" w:rsidP="002C088B">
            <w:pPr>
              <w:spacing w:after="120"/>
              <w:jc w:val="both"/>
              <w:rPr>
                <w:sz w:val="24"/>
                <w:szCs w:val="24"/>
              </w:rPr>
            </w:pPr>
          </w:p>
        </w:tc>
      </w:tr>
      <w:tr w:rsidR="002C088B" w14:paraId="4FA2D8F5" w14:textId="7EE9139F" w:rsidTr="007E3028">
        <w:tc>
          <w:tcPr>
            <w:tcW w:w="1752" w:type="dxa"/>
          </w:tcPr>
          <w:p w14:paraId="3AD03391" w14:textId="7DC1F2BF" w:rsidR="002C088B" w:rsidRDefault="002C088B" w:rsidP="002C088B">
            <w:pPr>
              <w:spacing w:after="120"/>
              <w:jc w:val="both"/>
              <w:rPr>
                <w:sz w:val="24"/>
                <w:szCs w:val="24"/>
              </w:rPr>
            </w:pPr>
            <w:r>
              <w:rPr>
                <w:sz w:val="24"/>
                <w:szCs w:val="24"/>
              </w:rPr>
              <w:t>October</w:t>
            </w:r>
          </w:p>
        </w:tc>
        <w:tc>
          <w:tcPr>
            <w:tcW w:w="1655" w:type="dxa"/>
            <w:vAlign w:val="center"/>
          </w:tcPr>
          <w:p w14:paraId="60570542" w14:textId="0CAFF0A0" w:rsidR="002C088B" w:rsidRDefault="002C088B" w:rsidP="002C088B">
            <w:pPr>
              <w:spacing w:after="120"/>
              <w:jc w:val="center"/>
              <w:rPr>
                <w:sz w:val="24"/>
                <w:szCs w:val="24"/>
              </w:rPr>
            </w:pPr>
            <w:r>
              <w:rPr>
                <w:rFonts w:cs="Calibri"/>
                <w:color w:val="000000"/>
              </w:rPr>
              <w:t>5,125,199</w:t>
            </w:r>
          </w:p>
        </w:tc>
        <w:tc>
          <w:tcPr>
            <w:tcW w:w="1656" w:type="dxa"/>
          </w:tcPr>
          <w:p w14:paraId="0571AF0A" w14:textId="77777777" w:rsidR="002C088B" w:rsidRDefault="002C088B" w:rsidP="002C088B">
            <w:pPr>
              <w:spacing w:after="120"/>
              <w:jc w:val="both"/>
              <w:rPr>
                <w:sz w:val="24"/>
                <w:szCs w:val="24"/>
              </w:rPr>
            </w:pPr>
          </w:p>
        </w:tc>
        <w:tc>
          <w:tcPr>
            <w:tcW w:w="1656" w:type="dxa"/>
          </w:tcPr>
          <w:p w14:paraId="7554C1FC" w14:textId="3037DDB8" w:rsidR="002C088B" w:rsidRDefault="002C088B" w:rsidP="002C088B">
            <w:pPr>
              <w:spacing w:after="120"/>
              <w:jc w:val="both"/>
              <w:rPr>
                <w:sz w:val="24"/>
                <w:szCs w:val="24"/>
              </w:rPr>
            </w:pPr>
            <w:r w:rsidRPr="006B7DE5">
              <w:t>33,320,009</w:t>
            </w:r>
          </w:p>
        </w:tc>
        <w:tc>
          <w:tcPr>
            <w:tcW w:w="1656" w:type="dxa"/>
          </w:tcPr>
          <w:p w14:paraId="3C87BDC9" w14:textId="77777777" w:rsidR="002C088B" w:rsidRDefault="002C088B" w:rsidP="002C088B">
            <w:pPr>
              <w:spacing w:after="120"/>
              <w:jc w:val="both"/>
              <w:rPr>
                <w:sz w:val="24"/>
                <w:szCs w:val="24"/>
              </w:rPr>
            </w:pPr>
          </w:p>
        </w:tc>
        <w:tc>
          <w:tcPr>
            <w:tcW w:w="1656" w:type="dxa"/>
          </w:tcPr>
          <w:p w14:paraId="4EA2BD23" w14:textId="77777777" w:rsidR="002C088B" w:rsidRDefault="002C088B" w:rsidP="002C088B">
            <w:pPr>
              <w:spacing w:after="120"/>
              <w:jc w:val="both"/>
              <w:rPr>
                <w:sz w:val="24"/>
                <w:szCs w:val="24"/>
              </w:rPr>
            </w:pPr>
          </w:p>
        </w:tc>
      </w:tr>
      <w:tr w:rsidR="002C088B" w14:paraId="2CAFB829" w14:textId="77777777" w:rsidTr="007E3028">
        <w:tc>
          <w:tcPr>
            <w:tcW w:w="1752" w:type="dxa"/>
          </w:tcPr>
          <w:p w14:paraId="23CE0373" w14:textId="6B72C109" w:rsidR="002C088B" w:rsidRDefault="002C088B" w:rsidP="002C088B">
            <w:pPr>
              <w:spacing w:after="120"/>
              <w:jc w:val="both"/>
              <w:rPr>
                <w:sz w:val="24"/>
                <w:szCs w:val="24"/>
              </w:rPr>
            </w:pPr>
            <w:r>
              <w:rPr>
                <w:sz w:val="24"/>
                <w:szCs w:val="24"/>
              </w:rPr>
              <w:t>November</w:t>
            </w:r>
          </w:p>
        </w:tc>
        <w:tc>
          <w:tcPr>
            <w:tcW w:w="1655" w:type="dxa"/>
            <w:vAlign w:val="center"/>
          </w:tcPr>
          <w:p w14:paraId="3167097A" w14:textId="552D1AF5" w:rsidR="002C088B" w:rsidRDefault="002C088B" w:rsidP="002C088B">
            <w:pPr>
              <w:spacing w:after="120"/>
              <w:jc w:val="center"/>
              <w:rPr>
                <w:sz w:val="24"/>
                <w:szCs w:val="24"/>
              </w:rPr>
            </w:pPr>
            <w:r>
              <w:rPr>
                <w:rFonts w:cs="Calibri"/>
                <w:color w:val="000000"/>
              </w:rPr>
              <w:t>5,463,552</w:t>
            </w:r>
          </w:p>
        </w:tc>
        <w:tc>
          <w:tcPr>
            <w:tcW w:w="1656" w:type="dxa"/>
          </w:tcPr>
          <w:p w14:paraId="58E357B9" w14:textId="77777777" w:rsidR="002C088B" w:rsidRDefault="002C088B" w:rsidP="002C088B">
            <w:pPr>
              <w:spacing w:after="120"/>
              <w:jc w:val="both"/>
              <w:rPr>
                <w:sz w:val="24"/>
                <w:szCs w:val="24"/>
              </w:rPr>
            </w:pPr>
          </w:p>
        </w:tc>
        <w:tc>
          <w:tcPr>
            <w:tcW w:w="1656" w:type="dxa"/>
          </w:tcPr>
          <w:p w14:paraId="24A93C36" w14:textId="6A41B1EF" w:rsidR="002C088B" w:rsidRDefault="002C088B" w:rsidP="002C088B">
            <w:pPr>
              <w:spacing w:after="120"/>
              <w:jc w:val="both"/>
              <w:rPr>
                <w:sz w:val="24"/>
                <w:szCs w:val="24"/>
              </w:rPr>
            </w:pPr>
            <w:r w:rsidRPr="006B7DE5">
              <w:t>38,783,561</w:t>
            </w:r>
          </w:p>
        </w:tc>
        <w:tc>
          <w:tcPr>
            <w:tcW w:w="1656" w:type="dxa"/>
          </w:tcPr>
          <w:p w14:paraId="0B779B98" w14:textId="77777777" w:rsidR="002C088B" w:rsidRDefault="002C088B" w:rsidP="002C088B">
            <w:pPr>
              <w:spacing w:after="120"/>
              <w:jc w:val="both"/>
              <w:rPr>
                <w:sz w:val="24"/>
                <w:szCs w:val="24"/>
              </w:rPr>
            </w:pPr>
          </w:p>
        </w:tc>
        <w:tc>
          <w:tcPr>
            <w:tcW w:w="1656" w:type="dxa"/>
          </w:tcPr>
          <w:p w14:paraId="0698BDA3" w14:textId="77777777" w:rsidR="002C088B" w:rsidRDefault="002C088B" w:rsidP="002C088B">
            <w:pPr>
              <w:spacing w:after="120"/>
              <w:jc w:val="both"/>
              <w:rPr>
                <w:sz w:val="24"/>
                <w:szCs w:val="24"/>
              </w:rPr>
            </w:pPr>
          </w:p>
        </w:tc>
      </w:tr>
      <w:tr w:rsidR="002C088B" w14:paraId="25CE3609" w14:textId="77777777" w:rsidTr="007E3028">
        <w:tc>
          <w:tcPr>
            <w:tcW w:w="1752" w:type="dxa"/>
          </w:tcPr>
          <w:p w14:paraId="5F68FF28" w14:textId="65477102" w:rsidR="002C088B" w:rsidRDefault="002C088B" w:rsidP="002C088B">
            <w:pPr>
              <w:spacing w:after="120"/>
              <w:jc w:val="both"/>
              <w:rPr>
                <w:sz w:val="24"/>
                <w:szCs w:val="24"/>
              </w:rPr>
            </w:pPr>
            <w:r>
              <w:rPr>
                <w:sz w:val="24"/>
                <w:szCs w:val="24"/>
              </w:rPr>
              <w:t>December</w:t>
            </w:r>
          </w:p>
        </w:tc>
        <w:tc>
          <w:tcPr>
            <w:tcW w:w="1655" w:type="dxa"/>
            <w:vAlign w:val="center"/>
          </w:tcPr>
          <w:p w14:paraId="5A1194D8" w14:textId="6DF57E6D" w:rsidR="002C088B" w:rsidRDefault="002C088B" w:rsidP="002C088B">
            <w:pPr>
              <w:spacing w:after="120"/>
              <w:jc w:val="center"/>
              <w:rPr>
                <w:sz w:val="24"/>
                <w:szCs w:val="24"/>
              </w:rPr>
            </w:pPr>
            <w:r>
              <w:rPr>
                <w:rFonts w:cs="Calibri"/>
                <w:color w:val="000000"/>
              </w:rPr>
              <w:t>4,187,939</w:t>
            </w:r>
          </w:p>
        </w:tc>
        <w:tc>
          <w:tcPr>
            <w:tcW w:w="1656" w:type="dxa"/>
          </w:tcPr>
          <w:p w14:paraId="6F881136" w14:textId="77777777" w:rsidR="002C088B" w:rsidRDefault="002C088B" w:rsidP="002C088B">
            <w:pPr>
              <w:spacing w:after="120"/>
              <w:jc w:val="both"/>
              <w:rPr>
                <w:sz w:val="24"/>
                <w:szCs w:val="24"/>
              </w:rPr>
            </w:pPr>
          </w:p>
        </w:tc>
        <w:tc>
          <w:tcPr>
            <w:tcW w:w="1656" w:type="dxa"/>
          </w:tcPr>
          <w:p w14:paraId="5209304A" w14:textId="755412B6" w:rsidR="002C088B" w:rsidRDefault="002C088B" w:rsidP="002C088B">
            <w:pPr>
              <w:spacing w:after="120"/>
              <w:jc w:val="both"/>
              <w:rPr>
                <w:sz w:val="24"/>
                <w:szCs w:val="24"/>
              </w:rPr>
            </w:pPr>
            <w:r w:rsidRPr="006B7DE5">
              <w:t>42,971,500</w:t>
            </w:r>
          </w:p>
        </w:tc>
        <w:tc>
          <w:tcPr>
            <w:tcW w:w="1656" w:type="dxa"/>
          </w:tcPr>
          <w:p w14:paraId="458E6179" w14:textId="77777777" w:rsidR="002C088B" w:rsidRDefault="002C088B" w:rsidP="002C088B">
            <w:pPr>
              <w:spacing w:after="120"/>
              <w:jc w:val="both"/>
              <w:rPr>
                <w:sz w:val="24"/>
                <w:szCs w:val="24"/>
              </w:rPr>
            </w:pPr>
          </w:p>
        </w:tc>
        <w:tc>
          <w:tcPr>
            <w:tcW w:w="1656" w:type="dxa"/>
          </w:tcPr>
          <w:p w14:paraId="023E2997" w14:textId="77777777" w:rsidR="002C088B" w:rsidRDefault="002C088B" w:rsidP="002C088B">
            <w:pPr>
              <w:spacing w:after="120"/>
              <w:jc w:val="both"/>
              <w:rPr>
                <w:sz w:val="24"/>
                <w:szCs w:val="24"/>
              </w:rPr>
            </w:pPr>
          </w:p>
        </w:tc>
      </w:tr>
      <w:tr w:rsidR="002C088B" w14:paraId="327348E0" w14:textId="77777777" w:rsidTr="007E3028">
        <w:tc>
          <w:tcPr>
            <w:tcW w:w="1752" w:type="dxa"/>
          </w:tcPr>
          <w:p w14:paraId="4AFCA00A" w14:textId="3F5BEA0E" w:rsidR="002C088B" w:rsidRDefault="002C088B" w:rsidP="002C088B">
            <w:pPr>
              <w:spacing w:after="120"/>
              <w:jc w:val="both"/>
              <w:rPr>
                <w:sz w:val="24"/>
                <w:szCs w:val="24"/>
              </w:rPr>
            </w:pPr>
            <w:r>
              <w:rPr>
                <w:sz w:val="24"/>
                <w:szCs w:val="24"/>
              </w:rPr>
              <w:t>January</w:t>
            </w:r>
          </w:p>
        </w:tc>
        <w:tc>
          <w:tcPr>
            <w:tcW w:w="1655" w:type="dxa"/>
            <w:vAlign w:val="center"/>
          </w:tcPr>
          <w:p w14:paraId="58947B32" w14:textId="635FEE6D" w:rsidR="002C088B" w:rsidRDefault="002C088B" w:rsidP="002C088B">
            <w:pPr>
              <w:spacing w:after="120"/>
              <w:jc w:val="center"/>
              <w:rPr>
                <w:sz w:val="24"/>
                <w:szCs w:val="24"/>
              </w:rPr>
            </w:pPr>
            <w:r>
              <w:rPr>
                <w:rFonts w:cs="Calibri"/>
                <w:color w:val="000000"/>
              </w:rPr>
              <w:t>6,032,250</w:t>
            </w:r>
          </w:p>
        </w:tc>
        <w:tc>
          <w:tcPr>
            <w:tcW w:w="1656" w:type="dxa"/>
          </w:tcPr>
          <w:p w14:paraId="534705A7" w14:textId="77777777" w:rsidR="002C088B" w:rsidRDefault="002C088B" w:rsidP="002C088B">
            <w:pPr>
              <w:spacing w:after="120"/>
              <w:jc w:val="both"/>
              <w:rPr>
                <w:sz w:val="24"/>
                <w:szCs w:val="24"/>
              </w:rPr>
            </w:pPr>
          </w:p>
        </w:tc>
        <w:tc>
          <w:tcPr>
            <w:tcW w:w="1656" w:type="dxa"/>
          </w:tcPr>
          <w:p w14:paraId="66B0C55C" w14:textId="355EB7BE" w:rsidR="002C088B" w:rsidRDefault="002C088B" w:rsidP="002C088B">
            <w:pPr>
              <w:spacing w:after="120"/>
              <w:jc w:val="both"/>
              <w:rPr>
                <w:sz w:val="24"/>
                <w:szCs w:val="24"/>
              </w:rPr>
            </w:pPr>
            <w:r w:rsidRPr="006B7DE5">
              <w:t>49,003,750</w:t>
            </w:r>
          </w:p>
        </w:tc>
        <w:tc>
          <w:tcPr>
            <w:tcW w:w="1656" w:type="dxa"/>
          </w:tcPr>
          <w:p w14:paraId="269057A1" w14:textId="77777777" w:rsidR="002C088B" w:rsidRDefault="002C088B" w:rsidP="002C088B">
            <w:pPr>
              <w:spacing w:after="120"/>
              <w:jc w:val="both"/>
              <w:rPr>
                <w:sz w:val="24"/>
                <w:szCs w:val="24"/>
              </w:rPr>
            </w:pPr>
          </w:p>
        </w:tc>
        <w:tc>
          <w:tcPr>
            <w:tcW w:w="1656" w:type="dxa"/>
          </w:tcPr>
          <w:p w14:paraId="0A7E82F9" w14:textId="77777777" w:rsidR="002C088B" w:rsidRDefault="002C088B" w:rsidP="002C088B">
            <w:pPr>
              <w:spacing w:after="120"/>
              <w:jc w:val="both"/>
              <w:rPr>
                <w:sz w:val="24"/>
                <w:szCs w:val="24"/>
              </w:rPr>
            </w:pPr>
          </w:p>
        </w:tc>
      </w:tr>
      <w:tr w:rsidR="002C088B" w14:paraId="09380BAE" w14:textId="77777777" w:rsidTr="007E3028">
        <w:tc>
          <w:tcPr>
            <w:tcW w:w="1752" w:type="dxa"/>
          </w:tcPr>
          <w:p w14:paraId="0BBF789E" w14:textId="4E4CD69D" w:rsidR="002C088B" w:rsidRDefault="002C088B" w:rsidP="002C088B">
            <w:pPr>
              <w:spacing w:after="120"/>
              <w:jc w:val="both"/>
              <w:rPr>
                <w:sz w:val="24"/>
                <w:szCs w:val="24"/>
              </w:rPr>
            </w:pPr>
            <w:r>
              <w:rPr>
                <w:sz w:val="24"/>
                <w:szCs w:val="24"/>
              </w:rPr>
              <w:t>February</w:t>
            </w:r>
          </w:p>
        </w:tc>
        <w:tc>
          <w:tcPr>
            <w:tcW w:w="1655" w:type="dxa"/>
            <w:vAlign w:val="center"/>
          </w:tcPr>
          <w:p w14:paraId="4B830490" w14:textId="3942D71D" w:rsidR="002C088B" w:rsidRDefault="002C088B" w:rsidP="002C088B">
            <w:pPr>
              <w:spacing w:after="120"/>
              <w:jc w:val="center"/>
              <w:rPr>
                <w:sz w:val="24"/>
                <w:szCs w:val="24"/>
              </w:rPr>
            </w:pPr>
            <w:r>
              <w:rPr>
                <w:rFonts w:cs="Calibri"/>
                <w:color w:val="000000"/>
              </w:rPr>
              <w:t>6,478,406</w:t>
            </w:r>
          </w:p>
        </w:tc>
        <w:tc>
          <w:tcPr>
            <w:tcW w:w="1656" w:type="dxa"/>
          </w:tcPr>
          <w:p w14:paraId="7C52E6DE" w14:textId="77777777" w:rsidR="002C088B" w:rsidRDefault="002C088B" w:rsidP="002C088B">
            <w:pPr>
              <w:spacing w:after="120"/>
              <w:jc w:val="both"/>
              <w:rPr>
                <w:sz w:val="24"/>
                <w:szCs w:val="24"/>
              </w:rPr>
            </w:pPr>
          </w:p>
        </w:tc>
        <w:tc>
          <w:tcPr>
            <w:tcW w:w="1656" w:type="dxa"/>
          </w:tcPr>
          <w:p w14:paraId="136FDBB2" w14:textId="0DBBD5F5" w:rsidR="002C088B" w:rsidRDefault="002C088B" w:rsidP="002C088B">
            <w:pPr>
              <w:spacing w:after="120"/>
              <w:jc w:val="both"/>
              <w:rPr>
                <w:sz w:val="24"/>
                <w:szCs w:val="24"/>
              </w:rPr>
            </w:pPr>
            <w:r w:rsidRPr="006B7DE5">
              <w:t>55,482,156</w:t>
            </w:r>
          </w:p>
        </w:tc>
        <w:tc>
          <w:tcPr>
            <w:tcW w:w="1656" w:type="dxa"/>
          </w:tcPr>
          <w:p w14:paraId="454BF7AE" w14:textId="77777777" w:rsidR="002C088B" w:rsidRDefault="002C088B" w:rsidP="002C088B">
            <w:pPr>
              <w:spacing w:after="120"/>
              <w:jc w:val="both"/>
              <w:rPr>
                <w:sz w:val="24"/>
                <w:szCs w:val="24"/>
              </w:rPr>
            </w:pPr>
          </w:p>
        </w:tc>
        <w:tc>
          <w:tcPr>
            <w:tcW w:w="1656" w:type="dxa"/>
          </w:tcPr>
          <w:p w14:paraId="0E69BB03" w14:textId="77777777" w:rsidR="002C088B" w:rsidRDefault="002C088B" w:rsidP="002C088B">
            <w:pPr>
              <w:spacing w:after="120"/>
              <w:jc w:val="both"/>
              <w:rPr>
                <w:sz w:val="24"/>
                <w:szCs w:val="24"/>
              </w:rPr>
            </w:pPr>
          </w:p>
        </w:tc>
      </w:tr>
      <w:tr w:rsidR="002C088B" w14:paraId="379C8774" w14:textId="77777777" w:rsidTr="007E3028">
        <w:tc>
          <w:tcPr>
            <w:tcW w:w="1752" w:type="dxa"/>
          </w:tcPr>
          <w:p w14:paraId="4624BE6B" w14:textId="701F4243" w:rsidR="002C088B" w:rsidRDefault="002C088B" w:rsidP="002C088B">
            <w:pPr>
              <w:spacing w:after="120"/>
              <w:jc w:val="both"/>
              <w:rPr>
                <w:sz w:val="24"/>
                <w:szCs w:val="24"/>
              </w:rPr>
            </w:pPr>
            <w:r>
              <w:rPr>
                <w:sz w:val="24"/>
                <w:szCs w:val="24"/>
              </w:rPr>
              <w:t>March</w:t>
            </w:r>
          </w:p>
        </w:tc>
        <w:tc>
          <w:tcPr>
            <w:tcW w:w="1655" w:type="dxa"/>
            <w:vAlign w:val="center"/>
          </w:tcPr>
          <w:p w14:paraId="0AA9EF28" w14:textId="32A64873" w:rsidR="002C088B" w:rsidRDefault="002C088B" w:rsidP="002C088B">
            <w:pPr>
              <w:spacing w:after="120"/>
              <w:jc w:val="center"/>
              <w:rPr>
                <w:sz w:val="24"/>
                <w:szCs w:val="24"/>
              </w:rPr>
            </w:pPr>
            <w:r>
              <w:rPr>
                <w:rFonts w:cs="Calibri"/>
                <w:color w:val="000000"/>
              </w:rPr>
              <w:t>7,197,845</w:t>
            </w:r>
          </w:p>
        </w:tc>
        <w:tc>
          <w:tcPr>
            <w:tcW w:w="1656" w:type="dxa"/>
          </w:tcPr>
          <w:p w14:paraId="344894AB" w14:textId="77777777" w:rsidR="002C088B" w:rsidRDefault="002C088B" w:rsidP="002C088B">
            <w:pPr>
              <w:spacing w:after="120"/>
              <w:jc w:val="both"/>
              <w:rPr>
                <w:sz w:val="24"/>
                <w:szCs w:val="24"/>
              </w:rPr>
            </w:pPr>
          </w:p>
        </w:tc>
        <w:tc>
          <w:tcPr>
            <w:tcW w:w="1656" w:type="dxa"/>
          </w:tcPr>
          <w:p w14:paraId="5F7C345E" w14:textId="7A0BDAFD" w:rsidR="002C088B" w:rsidRDefault="002C088B" w:rsidP="002C088B">
            <w:pPr>
              <w:spacing w:after="120"/>
              <w:jc w:val="both"/>
              <w:rPr>
                <w:sz w:val="24"/>
                <w:szCs w:val="24"/>
              </w:rPr>
            </w:pPr>
            <w:r w:rsidRPr="006B7DE5">
              <w:t>62,680,001</w:t>
            </w:r>
          </w:p>
        </w:tc>
        <w:tc>
          <w:tcPr>
            <w:tcW w:w="1656" w:type="dxa"/>
          </w:tcPr>
          <w:p w14:paraId="3AF1E898" w14:textId="77777777" w:rsidR="002C088B" w:rsidRDefault="002C088B" w:rsidP="002C088B">
            <w:pPr>
              <w:spacing w:after="120"/>
              <w:jc w:val="both"/>
              <w:rPr>
                <w:sz w:val="24"/>
                <w:szCs w:val="24"/>
              </w:rPr>
            </w:pPr>
          </w:p>
        </w:tc>
        <w:tc>
          <w:tcPr>
            <w:tcW w:w="1656" w:type="dxa"/>
          </w:tcPr>
          <w:p w14:paraId="6D74DF04" w14:textId="77777777" w:rsidR="002C088B" w:rsidRDefault="002C088B" w:rsidP="002C088B">
            <w:pPr>
              <w:spacing w:after="120"/>
              <w:jc w:val="both"/>
              <w:rPr>
                <w:sz w:val="24"/>
                <w:szCs w:val="24"/>
              </w:rPr>
            </w:pPr>
          </w:p>
        </w:tc>
      </w:tr>
    </w:tbl>
    <w:p w14:paraId="6DBCE6BF" w14:textId="62969EC0" w:rsidR="00EE7186" w:rsidRDefault="00EE7186" w:rsidP="00B12ACD">
      <w:pPr>
        <w:spacing w:after="120"/>
        <w:jc w:val="both"/>
        <w:rPr>
          <w:sz w:val="24"/>
          <w:szCs w:val="24"/>
        </w:rPr>
      </w:pPr>
    </w:p>
    <w:p w14:paraId="2B3BC033" w14:textId="77777777" w:rsidR="00277B93" w:rsidRDefault="00277B93" w:rsidP="00B12ACD">
      <w:pPr>
        <w:spacing w:after="120"/>
        <w:rPr>
          <w:b/>
          <w:sz w:val="24"/>
          <w:szCs w:val="28"/>
        </w:rPr>
      </w:pPr>
    </w:p>
    <w:p w14:paraId="5770A084" w14:textId="60551FE4" w:rsidR="00122BB1" w:rsidRDefault="00BD4DBE" w:rsidP="00B12ACD">
      <w:pPr>
        <w:spacing w:after="120"/>
        <w:rPr>
          <w:b/>
          <w:sz w:val="24"/>
          <w:szCs w:val="28"/>
        </w:rPr>
      </w:pPr>
      <w:r>
        <w:rPr>
          <w:b/>
          <w:sz w:val="24"/>
          <w:szCs w:val="28"/>
        </w:rPr>
        <w:lastRenderedPageBreak/>
        <w:t>E</w:t>
      </w:r>
      <w:r w:rsidR="00122BB1" w:rsidRPr="00750892">
        <w:rPr>
          <w:b/>
          <w:sz w:val="24"/>
          <w:szCs w:val="28"/>
        </w:rPr>
        <w:t>xpenditure</w:t>
      </w:r>
    </w:p>
    <w:p w14:paraId="54A4FAD1" w14:textId="632C235F" w:rsidR="000C59B5" w:rsidRDefault="00BD4DBE" w:rsidP="00B12ACD">
      <w:pPr>
        <w:spacing w:after="120"/>
        <w:jc w:val="both"/>
        <w:rPr>
          <w:sz w:val="24"/>
          <w:szCs w:val="28"/>
        </w:rPr>
      </w:pPr>
      <w:r>
        <w:rPr>
          <w:sz w:val="24"/>
          <w:szCs w:val="28"/>
        </w:rPr>
        <w:t>Year to date spending against budget is low</w:t>
      </w:r>
      <w:r w:rsidR="00412E9E">
        <w:rPr>
          <w:sz w:val="24"/>
          <w:szCs w:val="28"/>
        </w:rPr>
        <w:t>er than expected</w:t>
      </w:r>
      <w:r>
        <w:rPr>
          <w:sz w:val="24"/>
          <w:szCs w:val="28"/>
        </w:rPr>
        <w:t xml:space="preserve"> within some budget lines, for example </w:t>
      </w:r>
      <w:r w:rsidR="00C555F5">
        <w:rPr>
          <w:sz w:val="24"/>
          <w:szCs w:val="28"/>
        </w:rPr>
        <w:t xml:space="preserve"> Advertising, Travel, Professional Fees, and Marketing, all of which are being reviewed </w:t>
      </w:r>
      <w:r>
        <w:rPr>
          <w:sz w:val="24"/>
          <w:szCs w:val="28"/>
        </w:rPr>
        <w:t>in half year b</w:t>
      </w:r>
      <w:r w:rsidR="00C555F5">
        <w:rPr>
          <w:sz w:val="24"/>
          <w:szCs w:val="28"/>
        </w:rPr>
        <w:t xml:space="preserve">udget meetings </w:t>
      </w:r>
      <w:r>
        <w:rPr>
          <w:sz w:val="24"/>
          <w:szCs w:val="28"/>
        </w:rPr>
        <w:t xml:space="preserve">this month </w:t>
      </w:r>
      <w:r w:rsidR="00C555F5">
        <w:rPr>
          <w:sz w:val="24"/>
          <w:szCs w:val="28"/>
        </w:rPr>
        <w:t xml:space="preserve">to assess the Q2 and full year position.  The </w:t>
      </w:r>
      <w:r>
        <w:rPr>
          <w:sz w:val="24"/>
          <w:szCs w:val="28"/>
        </w:rPr>
        <w:t>b</w:t>
      </w:r>
      <w:r w:rsidR="00C555F5">
        <w:rPr>
          <w:sz w:val="24"/>
          <w:szCs w:val="28"/>
        </w:rPr>
        <w:t>udget reviews will highlight existing and forecast spends</w:t>
      </w:r>
      <w:r w:rsidR="00161FB8">
        <w:rPr>
          <w:sz w:val="24"/>
          <w:szCs w:val="28"/>
        </w:rPr>
        <w:t xml:space="preserve"> </w:t>
      </w:r>
      <w:r>
        <w:rPr>
          <w:sz w:val="24"/>
          <w:szCs w:val="28"/>
        </w:rPr>
        <w:t xml:space="preserve">and in particular focus on whether business cases where procurement or recruitment is required are on track for delivery. </w:t>
      </w:r>
    </w:p>
    <w:p w14:paraId="5DB5DB81" w14:textId="77777777" w:rsidR="000B7EFD" w:rsidRDefault="000B7EFD" w:rsidP="00B12ACD">
      <w:pPr>
        <w:spacing w:after="120"/>
        <w:rPr>
          <w:b/>
          <w:sz w:val="24"/>
          <w:szCs w:val="28"/>
        </w:rPr>
      </w:pPr>
    </w:p>
    <w:p w14:paraId="747107AF" w14:textId="0280AB7B" w:rsidR="009118EF" w:rsidRDefault="00750892" w:rsidP="00B12ACD">
      <w:pPr>
        <w:spacing w:after="120"/>
        <w:rPr>
          <w:b/>
          <w:sz w:val="24"/>
          <w:szCs w:val="28"/>
        </w:rPr>
      </w:pPr>
      <w:r w:rsidRPr="00750892">
        <w:rPr>
          <w:b/>
          <w:sz w:val="24"/>
          <w:szCs w:val="28"/>
        </w:rPr>
        <w:t>End of year position</w:t>
      </w:r>
    </w:p>
    <w:p w14:paraId="060AF217" w14:textId="15C82670" w:rsidR="00630E27" w:rsidRDefault="00750892" w:rsidP="00B12ACD">
      <w:pPr>
        <w:spacing w:after="120"/>
        <w:jc w:val="both"/>
        <w:rPr>
          <w:sz w:val="24"/>
          <w:szCs w:val="28"/>
        </w:rPr>
      </w:pPr>
      <w:r w:rsidRPr="00750892">
        <w:rPr>
          <w:sz w:val="24"/>
          <w:szCs w:val="28"/>
        </w:rPr>
        <w:t xml:space="preserve">The </w:t>
      </w:r>
      <w:r w:rsidR="005F4A10">
        <w:rPr>
          <w:sz w:val="24"/>
          <w:szCs w:val="28"/>
        </w:rPr>
        <w:t xml:space="preserve">year end is </w:t>
      </w:r>
      <w:r w:rsidR="00C92F3A">
        <w:rPr>
          <w:sz w:val="24"/>
          <w:szCs w:val="28"/>
        </w:rPr>
        <w:t xml:space="preserve">budgeted </w:t>
      </w:r>
      <w:r w:rsidR="00414C71">
        <w:rPr>
          <w:sz w:val="24"/>
          <w:szCs w:val="28"/>
        </w:rPr>
        <w:t xml:space="preserve">to </w:t>
      </w:r>
      <w:r w:rsidR="00D149C4">
        <w:rPr>
          <w:sz w:val="24"/>
          <w:szCs w:val="28"/>
        </w:rPr>
        <w:t>generate a s</w:t>
      </w:r>
      <w:r w:rsidR="00BD4DBE">
        <w:rPr>
          <w:sz w:val="24"/>
          <w:szCs w:val="28"/>
        </w:rPr>
        <w:t>mall</w:t>
      </w:r>
      <w:r w:rsidR="00D149C4">
        <w:rPr>
          <w:sz w:val="24"/>
          <w:szCs w:val="28"/>
        </w:rPr>
        <w:t xml:space="preserve"> su</w:t>
      </w:r>
      <w:r w:rsidR="00661215">
        <w:rPr>
          <w:sz w:val="24"/>
          <w:szCs w:val="28"/>
        </w:rPr>
        <w:t>rplus</w:t>
      </w:r>
      <w:r w:rsidR="0025084E">
        <w:rPr>
          <w:sz w:val="24"/>
          <w:szCs w:val="28"/>
        </w:rPr>
        <w:t xml:space="preserve"> although current forecasts show a larger surplus due to fee income performance and lower than forecast expenditure</w:t>
      </w:r>
      <w:r w:rsidR="00414C71">
        <w:rPr>
          <w:sz w:val="24"/>
          <w:szCs w:val="28"/>
        </w:rPr>
        <w:t xml:space="preserve">. This will </w:t>
      </w:r>
      <w:r w:rsidR="006C7408">
        <w:rPr>
          <w:sz w:val="24"/>
          <w:szCs w:val="28"/>
        </w:rPr>
        <w:t xml:space="preserve">continue to </w:t>
      </w:r>
      <w:r w:rsidR="00414C71">
        <w:rPr>
          <w:sz w:val="24"/>
          <w:szCs w:val="28"/>
        </w:rPr>
        <w:t xml:space="preserve">be reviewed </w:t>
      </w:r>
      <w:r w:rsidR="00880FE3">
        <w:rPr>
          <w:sz w:val="24"/>
          <w:szCs w:val="28"/>
        </w:rPr>
        <w:t xml:space="preserve">the half year position </w:t>
      </w:r>
      <w:r w:rsidR="006C7408">
        <w:rPr>
          <w:sz w:val="24"/>
          <w:szCs w:val="28"/>
        </w:rPr>
        <w:t>will be detailed in the following month</w:t>
      </w:r>
      <w:r w:rsidR="00BD4DBE">
        <w:rPr>
          <w:sz w:val="24"/>
          <w:szCs w:val="28"/>
        </w:rPr>
        <w:t>’s</w:t>
      </w:r>
      <w:r w:rsidR="006C7408">
        <w:rPr>
          <w:sz w:val="24"/>
          <w:szCs w:val="28"/>
        </w:rPr>
        <w:t xml:space="preserve"> report.</w:t>
      </w:r>
    </w:p>
    <w:p w14:paraId="0087EDEA" w14:textId="280CF2BA" w:rsidR="003B0C73" w:rsidRDefault="003B0C73" w:rsidP="00B12ACD">
      <w:pPr>
        <w:spacing w:after="120"/>
        <w:jc w:val="both"/>
        <w:rPr>
          <w:b/>
          <w:sz w:val="24"/>
          <w:szCs w:val="28"/>
        </w:rPr>
      </w:pPr>
    </w:p>
    <w:p w14:paraId="13C88059" w14:textId="0DF08158" w:rsidR="00F82F45" w:rsidRDefault="00F82F45" w:rsidP="00B12ACD">
      <w:pPr>
        <w:spacing w:after="120"/>
        <w:jc w:val="both"/>
        <w:rPr>
          <w:b/>
          <w:sz w:val="24"/>
          <w:szCs w:val="28"/>
        </w:rPr>
      </w:pPr>
    </w:p>
    <w:p w14:paraId="5E9ECA7C" w14:textId="0CCAD5C2" w:rsidR="00F82F45" w:rsidRDefault="00F82F45" w:rsidP="00B12ACD">
      <w:pPr>
        <w:spacing w:after="120"/>
        <w:jc w:val="both"/>
        <w:rPr>
          <w:b/>
          <w:sz w:val="24"/>
          <w:szCs w:val="28"/>
        </w:rPr>
      </w:pPr>
    </w:p>
    <w:p w14:paraId="5C773DBB" w14:textId="77777777" w:rsidR="00F82F45" w:rsidRDefault="00F82F45" w:rsidP="00B12ACD">
      <w:pPr>
        <w:spacing w:after="120"/>
        <w:jc w:val="both"/>
        <w:rPr>
          <w:b/>
          <w:sz w:val="24"/>
          <w:szCs w:val="28"/>
        </w:rPr>
      </w:pPr>
    </w:p>
    <w:sectPr w:rsidR="00F82F45" w:rsidSect="00034A83">
      <w:footerReference w:type="default" r:id="rId13"/>
      <w:pgSz w:w="11906" w:h="16838"/>
      <w:pgMar w:top="1134" w:right="1440" w:bottom="709" w:left="42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469B" w14:textId="77777777" w:rsidR="00946F4A" w:rsidRDefault="00946F4A" w:rsidP="003B1550">
      <w:pPr>
        <w:spacing w:after="0" w:line="240" w:lineRule="auto"/>
      </w:pPr>
      <w:r>
        <w:separator/>
      </w:r>
    </w:p>
  </w:endnote>
  <w:endnote w:type="continuationSeparator" w:id="0">
    <w:p w14:paraId="436C51A7" w14:textId="77777777" w:rsidR="00946F4A" w:rsidRDefault="00946F4A" w:rsidP="003B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6DC0" w14:textId="5BE0D7C0" w:rsidR="00E90BBF" w:rsidRPr="00986131" w:rsidRDefault="00E90BBF" w:rsidP="009861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8B81" w14:textId="77777777" w:rsidR="00946F4A" w:rsidRDefault="00946F4A" w:rsidP="003B1550">
      <w:pPr>
        <w:spacing w:after="0" w:line="240" w:lineRule="auto"/>
      </w:pPr>
      <w:r>
        <w:separator/>
      </w:r>
    </w:p>
  </w:footnote>
  <w:footnote w:type="continuationSeparator" w:id="0">
    <w:p w14:paraId="1CFF9FED" w14:textId="77777777" w:rsidR="00946F4A" w:rsidRDefault="00946F4A" w:rsidP="003B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A5C2C"/>
    <w:multiLevelType w:val="hybridMultilevel"/>
    <w:tmpl w:val="B730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821F86"/>
    <w:multiLevelType w:val="hybridMultilevel"/>
    <w:tmpl w:val="0BC4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550"/>
    <w:rsid w:val="000006DA"/>
    <w:rsid w:val="000013A9"/>
    <w:rsid w:val="00004D89"/>
    <w:rsid w:val="00013E71"/>
    <w:rsid w:val="0001431D"/>
    <w:rsid w:val="00014D00"/>
    <w:rsid w:val="00016D89"/>
    <w:rsid w:val="00017CF3"/>
    <w:rsid w:val="000233BE"/>
    <w:rsid w:val="00034A83"/>
    <w:rsid w:val="0004454C"/>
    <w:rsid w:val="000471D7"/>
    <w:rsid w:val="0005001E"/>
    <w:rsid w:val="00055366"/>
    <w:rsid w:val="00060190"/>
    <w:rsid w:val="00062708"/>
    <w:rsid w:val="00063F5C"/>
    <w:rsid w:val="00065B04"/>
    <w:rsid w:val="00070CC1"/>
    <w:rsid w:val="00073087"/>
    <w:rsid w:val="000733D4"/>
    <w:rsid w:val="00073B28"/>
    <w:rsid w:val="0007434F"/>
    <w:rsid w:val="00074B7C"/>
    <w:rsid w:val="00080A09"/>
    <w:rsid w:val="00081350"/>
    <w:rsid w:val="00081734"/>
    <w:rsid w:val="00086D6E"/>
    <w:rsid w:val="00090A81"/>
    <w:rsid w:val="00090C66"/>
    <w:rsid w:val="000A2D88"/>
    <w:rsid w:val="000B6A9C"/>
    <w:rsid w:val="000B7EFD"/>
    <w:rsid w:val="000C59B5"/>
    <w:rsid w:val="000D7990"/>
    <w:rsid w:val="000E1FC4"/>
    <w:rsid w:val="000E2BE3"/>
    <w:rsid w:val="000F56B6"/>
    <w:rsid w:val="001019CF"/>
    <w:rsid w:val="00101DA0"/>
    <w:rsid w:val="00110094"/>
    <w:rsid w:val="0011284A"/>
    <w:rsid w:val="00117AAA"/>
    <w:rsid w:val="001225ED"/>
    <w:rsid w:val="00122BB1"/>
    <w:rsid w:val="00126071"/>
    <w:rsid w:val="001301AA"/>
    <w:rsid w:val="00132278"/>
    <w:rsid w:val="00142847"/>
    <w:rsid w:val="0015284B"/>
    <w:rsid w:val="00161FB8"/>
    <w:rsid w:val="00166C5B"/>
    <w:rsid w:val="00175989"/>
    <w:rsid w:val="00175F12"/>
    <w:rsid w:val="001812E1"/>
    <w:rsid w:val="001813D4"/>
    <w:rsid w:val="0019104E"/>
    <w:rsid w:val="00191148"/>
    <w:rsid w:val="001936A3"/>
    <w:rsid w:val="001941E5"/>
    <w:rsid w:val="0019684C"/>
    <w:rsid w:val="001968D6"/>
    <w:rsid w:val="00196DB2"/>
    <w:rsid w:val="001A1BB5"/>
    <w:rsid w:val="001A3188"/>
    <w:rsid w:val="001B1DEC"/>
    <w:rsid w:val="001B3516"/>
    <w:rsid w:val="001C1798"/>
    <w:rsid w:val="001C43D2"/>
    <w:rsid w:val="001D0F41"/>
    <w:rsid w:val="001D25BD"/>
    <w:rsid w:val="001E7877"/>
    <w:rsid w:val="001F3612"/>
    <w:rsid w:val="001F584C"/>
    <w:rsid w:val="001F5C78"/>
    <w:rsid w:val="00204F3B"/>
    <w:rsid w:val="0020530E"/>
    <w:rsid w:val="00211CDE"/>
    <w:rsid w:val="002120A9"/>
    <w:rsid w:val="00213C6B"/>
    <w:rsid w:val="00213DB5"/>
    <w:rsid w:val="0021499E"/>
    <w:rsid w:val="00215FE0"/>
    <w:rsid w:val="00231E81"/>
    <w:rsid w:val="002359B3"/>
    <w:rsid w:val="002436DA"/>
    <w:rsid w:val="0025084E"/>
    <w:rsid w:val="00250958"/>
    <w:rsid w:val="00252D02"/>
    <w:rsid w:val="002550B9"/>
    <w:rsid w:val="00255E04"/>
    <w:rsid w:val="00263C08"/>
    <w:rsid w:val="0027607B"/>
    <w:rsid w:val="00277B01"/>
    <w:rsid w:val="00277B93"/>
    <w:rsid w:val="00280638"/>
    <w:rsid w:val="00281ADD"/>
    <w:rsid w:val="002847C1"/>
    <w:rsid w:val="00292086"/>
    <w:rsid w:val="002A6345"/>
    <w:rsid w:val="002A6DD5"/>
    <w:rsid w:val="002A6E27"/>
    <w:rsid w:val="002B61E7"/>
    <w:rsid w:val="002B6CB9"/>
    <w:rsid w:val="002B7021"/>
    <w:rsid w:val="002C088B"/>
    <w:rsid w:val="002C34D4"/>
    <w:rsid w:val="002E0B6D"/>
    <w:rsid w:val="002E4F18"/>
    <w:rsid w:val="002E5D60"/>
    <w:rsid w:val="002E686B"/>
    <w:rsid w:val="002E7A93"/>
    <w:rsid w:val="002F2A36"/>
    <w:rsid w:val="002F3AF7"/>
    <w:rsid w:val="00300F6A"/>
    <w:rsid w:val="00305715"/>
    <w:rsid w:val="003070A6"/>
    <w:rsid w:val="0031167A"/>
    <w:rsid w:val="00316C5C"/>
    <w:rsid w:val="00322612"/>
    <w:rsid w:val="003232BA"/>
    <w:rsid w:val="0032339A"/>
    <w:rsid w:val="003315C9"/>
    <w:rsid w:val="00333375"/>
    <w:rsid w:val="0033445F"/>
    <w:rsid w:val="00335DFC"/>
    <w:rsid w:val="00336258"/>
    <w:rsid w:val="00337347"/>
    <w:rsid w:val="003405F3"/>
    <w:rsid w:val="00341766"/>
    <w:rsid w:val="00345139"/>
    <w:rsid w:val="0035540E"/>
    <w:rsid w:val="00360684"/>
    <w:rsid w:val="00362D48"/>
    <w:rsid w:val="00365404"/>
    <w:rsid w:val="00376D61"/>
    <w:rsid w:val="0038085F"/>
    <w:rsid w:val="00383E04"/>
    <w:rsid w:val="00387DA7"/>
    <w:rsid w:val="003945FA"/>
    <w:rsid w:val="00395D46"/>
    <w:rsid w:val="003A015A"/>
    <w:rsid w:val="003A0A02"/>
    <w:rsid w:val="003A4BA8"/>
    <w:rsid w:val="003A6C4C"/>
    <w:rsid w:val="003B0C73"/>
    <w:rsid w:val="003B1550"/>
    <w:rsid w:val="003B1857"/>
    <w:rsid w:val="003B2832"/>
    <w:rsid w:val="003C28F5"/>
    <w:rsid w:val="003D1321"/>
    <w:rsid w:val="003D264A"/>
    <w:rsid w:val="003D31EC"/>
    <w:rsid w:val="003D488D"/>
    <w:rsid w:val="003D56DD"/>
    <w:rsid w:val="003D5A5A"/>
    <w:rsid w:val="003E02FE"/>
    <w:rsid w:val="003E31DB"/>
    <w:rsid w:val="003E5739"/>
    <w:rsid w:val="003E74B8"/>
    <w:rsid w:val="003F1FB5"/>
    <w:rsid w:val="003F7D01"/>
    <w:rsid w:val="00401AA8"/>
    <w:rsid w:val="00402BF2"/>
    <w:rsid w:val="004079C7"/>
    <w:rsid w:val="00412E9E"/>
    <w:rsid w:val="00414C71"/>
    <w:rsid w:val="004168E1"/>
    <w:rsid w:val="00422475"/>
    <w:rsid w:val="00422B69"/>
    <w:rsid w:val="00425CEE"/>
    <w:rsid w:val="00432945"/>
    <w:rsid w:val="00433A51"/>
    <w:rsid w:val="00442C17"/>
    <w:rsid w:val="0044567B"/>
    <w:rsid w:val="004530A2"/>
    <w:rsid w:val="00453D91"/>
    <w:rsid w:val="00453DF7"/>
    <w:rsid w:val="00461E12"/>
    <w:rsid w:val="0046630B"/>
    <w:rsid w:val="00471997"/>
    <w:rsid w:val="00472431"/>
    <w:rsid w:val="00474DD8"/>
    <w:rsid w:val="00474EB0"/>
    <w:rsid w:val="004771A9"/>
    <w:rsid w:val="00490220"/>
    <w:rsid w:val="004922C1"/>
    <w:rsid w:val="004924D8"/>
    <w:rsid w:val="0049344A"/>
    <w:rsid w:val="00493792"/>
    <w:rsid w:val="004A06D7"/>
    <w:rsid w:val="004A743A"/>
    <w:rsid w:val="004B0279"/>
    <w:rsid w:val="004B546B"/>
    <w:rsid w:val="004B7FD1"/>
    <w:rsid w:val="004C55A9"/>
    <w:rsid w:val="004C7E4F"/>
    <w:rsid w:val="004C7F1B"/>
    <w:rsid w:val="004D363E"/>
    <w:rsid w:val="004D3F85"/>
    <w:rsid w:val="004D7112"/>
    <w:rsid w:val="004E4E2F"/>
    <w:rsid w:val="00502224"/>
    <w:rsid w:val="00506CFF"/>
    <w:rsid w:val="0050760C"/>
    <w:rsid w:val="00511416"/>
    <w:rsid w:val="005127C0"/>
    <w:rsid w:val="00521A74"/>
    <w:rsid w:val="00522F8E"/>
    <w:rsid w:val="00524F00"/>
    <w:rsid w:val="00537893"/>
    <w:rsid w:val="00537BE8"/>
    <w:rsid w:val="005548B8"/>
    <w:rsid w:val="005572AD"/>
    <w:rsid w:val="00557BB1"/>
    <w:rsid w:val="00562B27"/>
    <w:rsid w:val="0056549D"/>
    <w:rsid w:val="00570379"/>
    <w:rsid w:val="00572585"/>
    <w:rsid w:val="00572DA4"/>
    <w:rsid w:val="00583AAF"/>
    <w:rsid w:val="0058773D"/>
    <w:rsid w:val="005929C3"/>
    <w:rsid w:val="0059439C"/>
    <w:rsid w:val="005966C0"/>
    <w:rsid w:val="00596E29"/>
    <w:rsid w:val="005A1E13"/>
    <w:rsid w:val="005A2090"/>
    <w:rsid w:val="005A3B0A"/>
    <w:rsid w:val="005A5494"/>
    <w:rsid w:val="005B022E"/>
    <w:rsid w:val="005B1F03"/>
    <w:rsid w:val="005B2B7D"/>
    <w:rsid w:val="005B3A52"/>
    <w:rsid w:val="005C2A9D"/>
    <w:rsid w:val="005C3D95"/>
    <w:rsid w:val="005D1148"/>
    <w:rsid w:val="005D3345"/>
    <w:rsid w:val="005E09A9"/>
    <w:rsid w:val="005E17AF"/>
    <w:rsid w:val="005E7631"/>
    <w:rsid w:val="005F04F1"/>
    <w:rsid w:val="005F1877"/>
    <w:rsid w:val="005F4199"/>
    <w:rsid w:val="005F4A10"/>
    <w:rsid w:val="005F776D"/>
    <w:rsid w:val="006056B6"/>
    <w:rsid w:val="0060587A"/>
    <w:rsid w:val="00606180"/>
    <w:rsid w:val="00607C6A"/>
    <w:rsid w:val="00611FF7"/>
    <w:rsid w:val="00617B3C"/>
    <w:rsid w:val="006211B7"/>
    <w:rsid w:val="006219D4"/>
    <w:rsid w:val="00622A53"/>
    <w:rsid w:val="00624C10"/>
    <w:rsid w:val="00624F77"/>
    <w:rsid w:val="00627F4E"/>
    <w:rsid w:val="00630E27"/>
    <w:rsid w:val="006370E1"/>
    <w:rsid w:val="00642E45"/>
    <w:rsid w:val="00661215"/>
    <w:rsid w:val="00661B23"/>
    <w:rsid w:val="0066453E"/>
    <w:rsid w:val="00666A67"/>
    <w:rsid w:val="00666B66"/>
    <w:rsid w:val="006723AE"/>
    <w:rsid w:val="006747EB"/>
    <w:rsid w:val="00680B52"/>
    <w:rsid w:val="006830FA"/>
    <w:rsid w:val="00683EBE"/>
    <w:rsid w:val="00684D7E"/>
    <w:rsid w:val="00686A2F"/>
    <w:rsid w:val="00690F6C"/>
    <w:rsid w:val="00695B1B"/>
    <w:rsid w:val="00695B9B"/>
    <w:rsid w:val="006A0177"/>
    <w:rsid w:val="006A1C40"/>
    <w:rsid w:val="006A55CE"/>
    <w:rsid w:val="006B1664"/>
    <w:rsid w:val="006B1D09"/>
    <w:rsid w:val="006B4146"/>
    <w:rsid w:val="006B55D8"/>
    <w:rsid w:val="006C7408"/>
    <w:rsid w:val="006D156F"/>
    <w:rsid w:val="006D2D51"/>
    <w:rsid w:val="006E1AF3"/>
    <w:rsid w:val="006E3F4B"/>
    <w:rsid w:val="006E4143"/>
    <w:rsid w:val="006F2B18"/>
    <w:rsid w:val="006F411C"/>
    <w:rsid w:val="006F54A1"/>
    <w:rsid w:val="006F67E4"/>
    <w:rsid w:val="006F6F86"/>
    <w:rsid w:val="00705A45"/>
    <w:rsid w:val="00712B96"/>
    <w:rsid w:val="0071322A"/>
    <w:rsid w:val="0071348E"/>
    <w:rsid w:val="007157AC"/>
    <w:rsid w:val="00715B45"/>
    <w:rsid w:val="007210A1"/>
    <w:rsid w:val="007263D6"/>
    <w:rsid w:val="00730FAE"/>
    <w:rsid w:val="007346BB"/>
    <w:rsid w:val="007376F0"/>
    <w:rsid w:val="007400D1"/>
    <w:rsid w:val="00742424"/>
    <w:rsid w:val="00743AD2"/>
    <w:rsid w:val="007504D4"/>
    <w:rsid w:val="00750892"/>
    <w:rsid w:val="0075530C"/>
    <w:rsid w:val="00755C9A"/>
    <w:rsid w:val="00757C46"/>
    <w:rsid w:val="00763055"/>
    <w:rsid w:val="00763E9E"/>
    <w:rsid w:val="00765483"/>
    <w:rsid w:val="00770645"/>
    <w:rsid w:val="007739A8"/>
    <w:rsid w:val="007759DC"/>
    <w:rsid w:val="00776BE3"/>
    <w:rsid w:val="00777CBB"/>
    <w:rsid w:val="00780F69"/>
    <w:rsid w:val="00781AA3"/>
    <w:rsid w:val="007915D3"/>
    <w:rsid w:val="00793EAF"/>
    <w:rsid w:val="0079488B"/>
    <w:rsid w:val="007A00BB"/>
    <w:rsid w:val="007A565B"/>
    <w:rsid w:val="007B044F"/>
    <w:rsid w:val="007B3D2E"/>
    <w:rsid w:val="007B4F82"/>
    <w:rsid w:val="007B51E6"/>
    <w:rsid w:val="007B612B"/>
    <w:rsid w:val="007C61C9"/>
    <w:rsid w:val="007C7333"/>
    <w:rsid w:val="007C7D0F"/>
    <w:rsid w:val="007D1DC1"/>
    <w:rsid w:val="007D3558"/>
    <w:rsid w:val="007D6B8D"/>
    <w:rsid w:val="007D7932"/>
    <w:rsid w:val="007E06A8"/>
    <w:rsid w:val="007E18D2"/>
    <w:rsid w:val="007E23DF"/>
    <w:rsid w:val="007E33A2"/>
    <w:rsid w:val="007E7C1F"/>
    <w:rsid w:val="007F2A9A"/>
    <w:rsid w:val="00813BB6"/>
    <w:rsid w:val="00814987"/>
    <w:rsid w:val="00820B3D"/>
    <w:rsid w:val="00820DFF"/>
    <w:rsid w:val="008254C8"/>
    <w:rsid w:val="0084258B"/>
    <w:rsid w:val="008453B9"/>
    <w:rsid w:val="008501FD"/>
    <w:rsid w:val="00850CD7"/>
    <w:rsid w:val="00863062"/>
    <w:rsid w:val="008638F2"/>
    <w:rsid w:val="00865580"/>
    <w:rsid w:val="008662CA"/>
    <w:rsid w:val="008708EB"/>
    <w:rsid w:val="0087174A"/>
    <w:rsid w:val="00880FE3"/>
    <w:rsid w:val="008854BE"/>
    <w:rsid w:val="0089352D"/>
    <w:rsid w:val="00894FF6"/>
    <w:rsid w:val="008B3D36"/>
    <w:rsid w:val="008C02DF"/>
    <w:rsid w:val="008C171C"/>
    <w:rsid w:val="008C49AF"/>
    <w:rsid w:val="008C6124"/>
    <w:rsid w:val="008C69C1"/>
    <w:rsid w:val="008D3589"/>
    <w:rsid w:val="008D6C57"/>
    <w:rsid w:val="008E2406"/>
    <w:rsid w:val="008E5C7C"/>
    <w:rsid w:val="008E70D8"/>
    <w:rsid w:val="008E76F3"/>
    <w:rsid w:val="00901432"/>
    <w:rsid w:val="009053DD"/>
    <w:rsid w:val="00910215"/>
    <w:rsid w:val="009118EF"/>
    <w:rsid w:val="009161A0"/>
    <w:rsid w:val="00917EB5"/>
    <w:rsid w:val="009232B1"/>
    <w:rsid w:val="00934A60"/>
    <w:rsid w:val="00945AAC"/>
    <w:rsid w:val="00946F4A"/>
    <w:rsid w:val="00947A72"/>
    <w:rsid w:val="00950BE5"/>
    <w:rsid w:val="00953EE1"/>
    <w:rsid w:val="00954533"/>
    <w:rsid w:val="00957C37"/>
    <w:rsid w:val="00957EDC"/>
    <w:rsid w:val="009644A1"/>
    <w:rsid w:val="00966BC1"/>
    <w:rsid w:val="00966F49"/>
    <w:rsid w:val="0097013C"/>
    <w:rsid w:val="0097066D"/>
    <w:rsid w:val="00970E36"/>
    <w:rsid w:val="00971AFA"/>
    <w:rsid w:val="009725B5"/>
    <w:rsid w:val="00986131"/>
    <w:rsid w:val="00991F3E"/>
    <w:rsid w:val="00995F91"/>
    <w:rsid w:val="009A1A94"/>
    <w:rsid w:val="009A710F"/>
    <w:rsid w:val="009A71F1"/>
    <w:rsid w:val="009A7DF8"/>
    <w:rsid w:val="009B2F56"/>
    <w:rsid w:val="009B347F"/>
    <w:rsid w:val="009B35C9"/>
    <w:rsid w:val="009B41CF"/>
    <w:rsid w:val="009B761A"/>
    <w:rsid w:val="009C2DC4"/>
    <w:rsid w:val="009C36FA"/>
    <w:rsid w:val="009C4E56"/>
    <w:rsid w:val="009D11DE"/>
    <w:rsid w:val="009D548A"/>
    <w:rsid w:val="009E0651"/>
    <w:rsid w:val="009E4D66"/>
    <w:rsid w:val="009E5215"/>
    <w:rsid w:val="009E7A5F"/>
    <w:rsid w:val="009F1542"/>
    <w:rsid w:val="009F3C50"/>
    <w:rsid w:val="009F5C48"/>
    <w:rsid w:val="00A0155E"/>
    <w:rsid w:val="00A015AD"/>
    <w:rsid w:val="00A047D8"/>
    <w:rsid w:val="00A23D9F"/>
    <w:rsid w:val="00A2524E"/>
    <w:rsid w:val="00A31CF6"/>
    <w:rsid w:val="00A34105"/>
    <w:rsid w:val="00A36A8A"/>
    <w:rsid w:val="00A3700F"/>
    <w:rsid w:val="00A4333D"/>
    <w:rsid w:val="00A514A3"/>
    <w:rsid w:val="00A54D0E"/>
    <w:rsid w:val="00A55819"/>
    <w:rsid w:val="00A56D1E"/>
    <w:rsid w:val="00A6254E"/>
    <w:rsid w:val="00A647B4"/>
    <w:rsid w:val="00A66D47"/>
    <w:rsid w:val="00A70F40"/>
    <w:rsid w:val="00A72C68"/>
    <w:rsid w:val="00A76AB4"/>
    <w:rsid w:val="00A82CBE"/>
    <w:rsid w:val="00A8456A"/>
    <w:rsid w:val="00A86922"/>
    <w:rsid w:val="00A87AFE"/>
    <w:rsid w:val="00A925A1"/>
    <w:rsid w:val="00A93809"/>
    <w:rsid w:val="00A949B3"/>
    <w:rsid w:val="00A9577C"/>
    <w:rsid w:val="00A959E0"/>
    <w:rsid w:val="00A96008"/>
    <w:rsid w:val="00AA10E5"/>
    <w:rsid w:val="00AA6BED"/>
    <w:rsid w:val="00AA788D"/>
    <w:rsid w:val="00AE3971"/>
    <w:rsid w:val="00AE57E6"/>
    <w:rsid w:val="00AE65E4"/>
    <w:rsid w:val="00B0118A"/>
    <w:rsid w:val="00B01DDF"/>
    <w:rsid w:val="00B02184"/>
    <w:rsid w:val="00B117DA"/>
    <w:rsid w:val="00B12ACD"/>
    <w:rsid w:val="00B12C94"/>
    <w:rsid w:val="00B21C4D"/>
    <w:rsid w:val="00B22AD8"/>
    <w:rsid w:val="00B23D44"/>
    <w:rsid w:val="00B258FB"/>
    <w:rsid w:val="00B25D93"/>
    <w:rsid w:val="00B326A4"/>
    <w:rsid w:val="00B3416F"/>
    <w:rsid w:val="00B447A9"/>
    <w:rsid w:val="00B45D6E"/>
    <w:rsid w:val="00B460CE"/>
    <w:rsid w:val="00B47038"/>
    <w:rsid w:val="00B55580"/>
    <w:rsid w:val="00B64720"/>
    <w:rsid w:val="00B67FD5"/>
    <w:rsid w:val="00B75B45"/>
    <w:rsid w:val="00B82EF6"/>
    <w:rsid w:val="00B86FC9"/>
    <w:rsid w:val="00B95488"/>
    <w:rsid w:val="00BA163B"/>
    <w:rsid w:val="00BB2DBC"/>
    <w:rsid w:val="00BB5AC1"/>
    <w:rsid w:val="00BC1A6D"/>
    <w:rsid w:val="00BC21F3"/>
    <w:rsid w:val="00BC2F24"/>
    <w:rsid w:val="00BD25D3"/>
    <w:rsid w:val="00BD4DBE"/>
    <w:rsid w:val="00BD7D6B"/>
    <w:rsid w:val="00BE10EC"/>
    <w:rsid w:val="00BE37DA"/>
    <w:rsid w:val="00BE61F6"/>
    <w:rsid w:val="00BF2CFF"/>
    <w:rsid w:val="00BF556C"/>
    <w:rsid w:val="00BF6CED"/>
    <w:rsid w:val="00C07F50"/>
    <w:rsid w:val="00C14BFF"/>
    <w:rsid w:val="00C173BE"/>
    <w:rsid w:val="00C252D3"/>
    <w:rsid w:val="00C26A3E"/>
    <w:rsid w:val="00C37C5D"/>
    <w:rsid w:val="00C43749"/>
    <w:rsid w:val="00C437D9"/>
    <w:rsid w:val="00C44164"/>
    <w:rsid w:val="00C45ECF"/>
    <w:rsid w:val="00C460AA"/>
    <w:rsid w:val="00C539F9"/>
    <w:rsid w:val="00C555F5"/>
    <w:rsid w:val="00C57418"/>
    <w:rsid w:val="00C5781C"/>
    <w:rsid w:val="00C615FD"/>
    <w:rsid w:val="00C63550"/>
    <w:rsid w:val="00C6472D"/>
    <w:rsid w:val="00C64FDB"/>
    <w:rsid w:val="00C67210"/>
    <w:rsid w:val="00C675ED"/>
    <w:rsid w:val="00C70376"/>
    <w:rsid w:val="00C74116"/>
    <w:rsid w:val="00C742D1"/>
    <w:rsid w:val="00C748AB"/>
    <w:rsid w:val="00C74C8F"/>
    <w:rsid w:val="00C76A13"/>
    <w:rsid w:val="00C8150E"/>
    <w:rsid w:val="00C839A3"/>
    <w:rsid w:val="00C83AE0"/>
    <w:rsid w:val="00C92F3A"/>
    <w:rsid w:val="00C93918"/>
    <w:rsid w:val="00CA0D57"/>
    <w:rsid w:val="00CA64BD"/>
    <w:rsid w:val="00CB3521"/>
    <w:rsid w:val="00CB7201"/>
    <w:rsid w:val="00CB7801"/>
    <w:rsid w:val="00CC3A77"/>
    <w:rsid w:val="00CC5162"/>
    <w:rsid w:val="00CC657C"/>
    <w:rsid w:val="00CD3AFC"/>
    <w:rsid w:val="00CD540C"/>
    <w:rsid w:val="00CD60E7"/>
    <w:rsid w:val="00CF0539"/>
    <w:rsid w:val="00CF15B7"/>
    <w:rsid w:val="00CF3743"/>
    <w:rsid w:val="00CF588B"/>
    <w:rsid w:val="00CF6F73"/>
    <w:rsid w:val="00D149C4"/>
    <w:rsid w:val="00D17156"/>
    <w:rsid w:val="00D2204D"/>
    <w:rsid w:val="00D313F2"/>
    <w:rsid w:val="00D34B7E"/>
    <w:rsid w:val="00D35AF1"/>
    <w:rsid w:val="00D40E33"/>
    <w:rsid w:val="00D413D1"/>
    <w:rsid w:val="00D441BF"/>
    <w:rsid w:val="00D45E70"/>
    <w:rsid w:val="00D46071"/>
    <w:rsid w:val="00D51E7B"/>
    <w:rsid w:val="00D52BDC"/>
    <w:rsid w:val="00D52EE1"/>
    <w:rsid w:val="00D61046"/>
    <w:rsid w:val="00D632ED"/>
    <w:rsid w:val="00D71783"/>
    <w:rsid w:val="00D81682"/>
    <w:rsid w:val="00D90DAC"/>
    <w:rsid w:val="00DA209E"/>
    <w:rsid w:val="00DA2CE3"/>
    <w:rsid w:val="00DA7C05"/>
    <w:rsid w:val="00DA7E9A"/>
    <w:rsid w:val="00DB292A"/>
    <w:rsid w:val="00DB3512"/>
    <w:rsid w:val="00DB3BC2"/>
    <w:rsid w:val="00DC550C"/>
    <w:rsid w:val="00DC56F8"/>
    <w:rsid w:val="00DC6C03"/>
    <w:rsid w:val="00DD044C"/>
    <w:rsid w:val="00DD4878"/>
    <w:rsid w:val="00DD4CD6"/>
    <w:rsid w:val="00DE15B0"/>
    <w:rsid w:val="00DE1E7E"/>
    <w:rsid w:val="00DE3D75"/>
    <w:rsid w:val="00DE650D"/>
    <w:rsid w:val="00DE7A53"/>
    <w:rsid w:val="00DF572E"/>
    <w:rsid w:val="00DF7CB1"/>
    <w:rsid w:val="00E01982"/>
    <w:rsid w:val="00E01E7C"/>
    <w:rsid w:val="00E03A39"/>
    <w:rsid w:val="00E043E5"/>
    <w:rsid w:val="00E1007F"/>
    <w:rsid w:val="00E11881"/>
    <w:rsid w:val="00E14BA4"/>
    <w:rsid w:val="00E16244"/>
    <w:rsid w:val="00E21AB9"/>
    <w:rsid w:val="00E27BB3"/>
    <w:rsid w:val="00E27D7D"/>
    <w:rsid w:val="00E301B3"/>
    <w:rsid w:val="00E37EF5"/>
    <w:rsid w:val="00E444B2"/>
    <w:rsid w:val="00E5119E"/>
    <w:rsid w:val="00E57AAE"/>
    <w:rsid w:val="00E602E6"/>
    <w:rsid w:val="00E606C8"/>
    <w:rsid w:val="00E60944"/>
    <w:rsid w:val="00E90BBF"/>
    <w:rsid w:val="00E9181E"/>
    <w:rsid w:val="00E91E40"/>
    <w:rsid w:val="00E920AA"/>
    <w:rsid w:val="00E940C1"/>
    <w:rsid w:val="00EA09FB"/>
    <w:rsid w:val="00EA1FA8"/>
    <w:rsid w:val="00EB3599"/>
    <w:rsid w:val="00EB3EEE"/>
    <w:rsid w:val="00EB7139"/>
    <w:rsid w:val="00EC0594"/>
    <w:rsid w:val="00EC4051"/>
    <w:rsid w:val="00EC4077"/>
    <w:rsid w:val="00EC431D"/>
    <w:rsid w:val="00EC619B"/>
    <w:rsid w:val="00ED3BA8"/>
    <w:rsid w:val="00ED46D0"/>
    <w:rsid w:val="00ED721E"/>
    <w:rsid w:val="00EE44BF"/>
    <w:rsid w:val="00EE7186"/>
    <w:rsid w:val="00EF4F4F"/>
    <w:rsid w:val="00EF73C7"/>
    <w:rsid w:val="00F00803"/>
    <w:rsid w:val="00F035E3"/>
    <w:rsid w:val="00F075C3"/>
    <w:rsid w:val="00F10F11"/>
    <w:rsid w:val="00F13926"/>
    <w:rsid w:val="00F222A9"/>
    <w:rsid w:val="00F264B0"/>
    <w:rsid w:val="00F321CE"/>
    <w:rsid w:val="00F35B24"/>
    <w:rsid w:val="00F35E84"/>
    <w:rsid w:val="00F36546"/>
    <w:rsid w:val="00F42187"/>
    <w:rsid w:val="00F449B0"/>
    <w:rsid w:val="00F513FD"/>
    <w:rsid w:val="00F53F3A"/>
    <w:rsid w:val="00F540FC"/>
    <w:rsid w:val="00F5448F"/>
    <w:rsid w:val="00F55200"/>
    <w:rsid w:val="00F57A57"/>
    <w:rsid w:val="00F6522F"/>
    <w:rsid w:val="00F70F38"/>
    <w:rsid w:val="00F75631"/>
    <w:rsid w:val="00F76AC7"/>
    <w:rsid w:val="00F82F45"/>
    <w:rsid w:val="00F85025"/>
    <w:rsid w:val="00F934E7"/>
    <w:rsid w:val="00F96047"/>
    <w:rsid w:val="00FA00AE"/>
    <w:rsid w:val="00FA2166"/>
    <w:rsid w:val="00FA39BE"/>
    <w:rsid w:val="00FA3B6F"/>
    <w:rsid w:val="00FA43B1"/>
    <w:rsid w:val="00FA6C93"/>
    <w:rsid w:val="00FC10F1"/>
    <w:rsid w:val="00FD026C"/>
    <w:rsid w:val="00FD0294"/>
    <w:rsid w:val="00FE14ED"/>
    <w:rsid w:val="00FE4FC8"/>
    <w:rsid w:val="00FF08CC"/>
    <w:rsid w:val="00FF2C58"/>
    <w:rsid w:val="00FF4D5C"/>
    <w:rsid w:val="00FF769E"/>
    <w:rsid w:val="00FF76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FCDE9"/>
  <w15:docId w15:val="{E497B83C-512F-4FA5-A955-1C8268F3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550"/>
  </w:style>
  <w:style w:type="paragraph" w:styleId="Footer">
    <w:name w:val="footer"/>
    <w:basedOn w:val="Normal"/>
    <w:link w:val="FooterChar"/>
    <w:uiPriority w:val="99"/>
    <w:unhideWhenUsed/>
    <w:rsid w:val="003B1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550"/>
  </w:style>
  <w:style w:type="character" w:styleId="PlaceholderText">
    <w:name w:val="Placeholder Text"/>
    <w:basedOn w:val="DefaultParagraphFont"/>
    <w:uiPriority w:val="99"/>
    <w:semiHidden/>
    <w:rsid w:val="003B1550"/>
    <w:rPr>
      <w:color w:val="808080"/>
    </w:rPr>
  </w:style>
  <w:style w:type="paragraph" w:styleId="BalloonText">
    <w:name w:val="Balloon Text"/>
    <w:basedOn w:val="Normal"/>
    <w:link w:val="BalloonTextChar"/>
    <w:uiPriority w:val="99"/>
    <w:semiHidden/>
    <w:unhideWhenUsed/>
    <w:rsid w:val="003B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50"/>
    <w:rPr>
      <w:rFonts w:ascii="Tahoma" w:hAnsi="Tahoma" w:cs="Tahoma"/>
      <w:sz w:val="16"/>
      <w:szCs w:val="16"/>
    </w:rPr>
  </w:style>
  <w:style w:type="paragraph" w:styleId="ListParagraph">
    <w:name w:val="List Paragraph"/>
    <w:basedOn w:val="Normal"/>
    <w:uiPriority w:val="34"/>
    <w:qFormat/>
    <w:rsid w:val="009053DD"/>
    <w:pPr>
      <w:ind w:left="720"/>
      <w:contextualSpacing/>
    </w:pPr>
  </w:style>
  <w:style w:type="paragraph" w:styleId="FootnoteText">
    <w:name w:val="footnote text"/>
    <w:basedOn w:val="Normal"/>
    <w:link w:val="FootnoteTextChar"/>
    <w:uiPriority w:val="99"/>
    <w:semiHidden/>
    <w:unhideWhenUsed/>
    <w:rsid w:val="00DA7E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E9A"/>
    <w:rPr>
      <w:sz w:val="20"/>
      <w:szCs w:val="20"/>
    </w:rPr>
  </w:style>
  <w:style w:type="character" w:styleId="FootnoteReference">
    <w:name w:val="footnote reference"/>
    <w:basedOn w:val="DefaultParagraphFont"/>
    <w:uiPriority w:val="99"/>
    <w:semiHidden/>
    <w:unhideWhenUsed/>
    <w:rsid w:val="00DA7E9A"/>
    <w:rPr>
      <w:vertAlign w:val="superscript"/>
    </w:rPr>
  </w:style>
  <w:style w:type="character" w:styleId="Hyperlink">
    <w:name w:val="Hyperlink"/>
    <w:basedOn w:val="DefaultParagraphFont"/>
    <w:uiPriority w:val="99"/>
    <w:unhideWhenUsed/>
    <w:rsid w:val="006F6F86"/>
    <w:rPr>
      <w:color w:val="0000FF" w:themeColor="hyperlink"/>
      <w:u w:val="single"/>
    </w:rPr>
  </w:style>
  <w:style w:type="character" w:customStyle="1" w:styleId="normaltextrun1">
    <w:name w:val="normaltextrun1"/>
    <w:basedOn w:val="DefaultParagraphFont"/>
    <w:rsid w:val="005B2B7D"/>
  </w:style>
  <w:style w:type="paragraph" w:customStyle="1" w:styleId="paragraph">
    <w:name w:val="paragraph"/>
    <w:basedOn w:val="Normal"/>
    <w:rsid w:val="005B2B7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4588">
      <w:bodyDiv w:val="1"/>
      <w:marLeft w:val="0"/>
      <w:marRight w:val="0"/>
      <w:marTop w:val="0"/>
      <w:marBottom w:val="0"/>
      <w:divBdr>
        <w:top w:val="none" w:sz="0" w:space="0" w:color="auto"/>
        <w:left w:val="none" w:sz="0" w:space="0" w:color="auto"/>
        <w:bottom w:val="none" w:sz="0" w:space="0" w:color="auto"/>
        <w:right w:val="none" w:sz="0" w:space="0" w:color="auto"/>
      </w:divBdr>
    </w:div>
    <w:div w:id="238490666">
      <w:bodyDiv w:val="1"/>
      <w:marLeft w:val="0"/>
      <w:marRight w:val="0"/>
      <w:marTop w:val="0"/>
      <w:marBottom w:val="0"/>
      <w:divBdr>
        <w:top w:val="none" w:sz="0" w:space="0" w:color="auto"/>
        <w:left w:val="none" w:sz="0" w:space="0" w:color="auto"/>
        <w:bottom w:val="none" w:sz="0" w:space="0" w:color="auto"/>
        <w:right w:val="none" w:sz="0" w:space="0" w:color="auto"/>
      </w:divBdr>
    </w:div>
    <w:div w:id="267615872">
      <w:bodyDiv w:val="1"/>
      <w:marLeft w:val="0"/>
      <w:marRight w:val="0"/>
      <w:marTop w:val="0"/>
      <w:marBottom w:val="0"/>
      <w:divBdr>
        <w:top w:val="none" w:sz="0" w:space="0" w:color="auto"/>
        <w:left w:val="none" w:sz="0" w:space="0" w:color="auto"/>
        <w:bottom w:val="none" w:sz="0" w:space="0" w:color="auto"/>
        <w:right w:val="none" w:sz="0" w:space="0" w:color="auto"/>
      </w:divBdr>
    </w:div>
    <w:div w:id="273023323">
      <w:bodyDiv w:val="1"/>
      <w:marLeft w:val="0"/>
      <w:marRight w:val="0"/>
      <w:marTop w:val="0"/>
      <w:marBottom w:val="0"/>
      <w:divBdr>
        <w:top w:val="none" w:sz="0" w:space="0" w:color="auto"/>
        <w:left w:val="none" w:sz="0" w:space="0" w:color="auto"/>
        <w:bottom w:val="none" w:sz="0" w:space="0" w:color="auto"/>
        <w:right w:val="none" w:sz="0" w:space="0" w:color="auto"/>
      </w:divBdr>
    </w:div>
    <w:div w:id="315695357">
      <w:bodyDiv w:val="1"/>
      <w:marLeft w:val="0"/>
      <w:marRight w:val="0"/>
      <w:marTop w:val="0"/>
      <w:marBottom w:val="0"/>
      <w:divBdr>
        <w:top w:val="none" w:sz="0" w:space="0" w:color="auto"/>
        <w:left w:val="none" w:sz="0" w:space="0" w:color="auto"/>
        <w:bottom w:val="none" w:sz="0" w:space="0" w:color="auto"/>
        <w:right w:val="none" w:sz="0" w:space="0" w:color="auto"/>
      </w:divBdr>
    </w:div>
    <w:div w:id="374240658">
      <w:bodyDiv w:val="1"/>
      <w:marLeft w:val="0"/>
      <w:marRight w:val="0"/>
      <w:marTop w:val="0"/>
      <w:marBottom w:val="0"/>
      <w:divBdr>
        <w:top w:val="none" w:sz="0" w:space="0" w:color="auto"/>
        <w:left w:val="none" w:sz="0" w:space="0" w:color="auto"/>
        <w:bottom w:val="none" w:sz="0" w:space="0" w:color="auto"/>
        <w:right w:val="none" w:sz="0" w:space="0" w:color="auto"/>
      </w:divBdr>
    </w:div>
    <w:div w:id="395512981">
      <w:bodyDiv w:val="1"/>
      <w:marLeft w:val="0"/>
      <w:marRight w:val="0"/>
      <w:marTop w:val="0"/>
      <w:marBottom w:val="0"/>
      <w:divBdr>
        <w:top w:val="none" w:sz="0" w:space="0" w:color="auto"/>
        <w:left w:val="none" w:sz="0" w:space="0" w:color="auto"/>
        <w:bottom w:val="none" w:sz="0" w:space="0" w:color="auto"/>
        <w:right w:val="none" w:sz="0" w:space="0" w:color="auto"/>
      </w:divBdr>
    </w:div>
    <w:div w:id="416946955">
      <w:bodyDiv w:val="1"/>
      <w:marLeft w:val="0"/>
      <w:marRight w:val="0"/>
      <w:marTop w:val="0"/>
      <w:marBottom w:val="0"/>
      <w:divBdr>
        <w:top w:val="none" w:sz="0" w:space="0" w:color="auto"/>
        <w:left w:val="none" w:sz="0" w:space="0" w:color="auto"/>
        <w:bottom w:val="none" w:sz="0" w:space="0" w:color="auto"/>
        <w:right w:val="none" w:sz="0" w:space="0" w:color="auto"/>
      </w:divBdr>
    </w:div>
    <w:div w:id="433862451">
      <w:bodyDiv w:val="1"/>
      <w:marLeft w:val="0"/>
      <w:marRight w:val="0"/>
      <w:marTop w:val="0"/>
      <w:marBottom w:val="0"/>
      <w:divBdr>
        <w:top w:val="none" w:sz="0" w:space="0" w:color="auto"/>
        <w:left w:val="none" w:sz="0" w:space="0" w:color="auto"/>
        <w:bottom w:val="none" w:sz="0" w:space="0" w:color="auto"/>
        <w:right w:val="none" w:sz="0" w:space="0" w:color="auto"/>
      </w:divBdr>
    </w:div>
    <w:div w:id="521865625">
      <w:bodyDiv w:val="1"/>
      <w:marLeft w:val="0"/>
      <w:marRight w:val="0"/>
      <w:marTop w:val="0"/>
      <w:marBottom w:val="0"/>
      <w:divBdr>
        <w:top w:val="none" w:sz="0" w:space="0" w:color="auto"/>
        <w:left w:val="none" w:sz="0" w:space="0" w:color="auto"/>
        <w:bottom w:val="none" w:sz="0" w:space="0" w:color="auto"/>
        <w:right w:val="none" w:sz="0" w:space="0" w:color="auto"/>
      </w:divBdr>
    </w:div>
    <w:div w:id="577401370">
      <w:bodyDiv w:val="1"/>
      <w:marLeft w:val="0"/>
      <w:marRight w:val="0"/>
      <w:marTop w:val="0"/>
      <w:marBottom w:val="0"/>
      <w:divBdr>
        <w:top w:val="none" w:sz="0" w:space="0" w:color="auto"/>
        <w:left w:val="none" w:sz="0" w:space="0" w:color="auto"/>
        <w:bottom w:val="none" w:sz="0" w:space="0" w:color="auto"/>
        <w:right w:val="none" w:sz="0" w:space="0" w:color="auto"/>
      </w:divBdr>
    </w:div>
    <w:div w:id="915360060">
      <w:bodyDiv w:val="1"/>
      <w:marLeft w:val="0"/>
      <w:marRight w:val="0"/>
      <w:marTop w:val="0"/>
      <w:marBottom w:val="0"/>
      <w:divBdr>
        <w:top w:val="none" w:sz="0" w:space="0" w:color="auto"/>
        <w:left w:val="none" w:sz="0" w:space="0" w:color="auto"/>
        <w:bottom w:val="none" w:sz="0" w:space="0" w:color="auto"/>
        <w:right w:val="none" w:sz="0" w:space="0" w:color="auto"/>
      </w:divBdr>
    </w:div>
    <w:div w:id="963581904">
      <w:bodyDiv w:val="1"/>
      <w:marLeft w:val="0"/>
      <w:marRight w:val="0"/>
      <w:marTop w:val="0"/>
      <w:marBottom w:val="0"/>
      <w:divBdr>
        <w:top w:val="none" w:sz="0" w:space="0" w:color="auto"/>
        <w:left w:val="none" w:sz="0" w:space="0" w:color="auto"/>
        <w:bottom w:val="none" w:sz="0" w:space="0" w:color="auto"/>
        <w:right w:val="none" w:sz="0" w:space="0" w:color="auto"/>
      </w:divBdr>
    </w:div>
    <w:div w:id="1128091344">
      <w:bodyDiv w:val="1"/>
      <w:marLeft w:val="0"/>
      <w:marRight w:val="0"/>
      <w:marTop w:val="0"/>
      <w:marBottom w:val="0"/>
      <w:divBdr>
        <w:top w:val="none" w:sz="0" w:space="0" w:color="auto"/>
        <w:left w:val="none" w:sz="0" w:space="0" w:color="auto"/>
        <w:bottom w:val="none" w:sz="0" w:space="0" w:color="auto"/>
        <w:right w:val="none" w:sz="0" w:space="0" w:color="auto"/>
      </w:divBdr>
    </w:div>
    <w:div w:id="1172261460">
      <w:bodyDiv w:val="1"/>
      <w:marLeft w:val="0"/>
      <w:marRight w:val="0"/>
      <w:marTop w:val="0"/>
      <w:marBottom w:val="0"/>
      <w:divBdr>
        <w:top w:val="none" w:sz="0" w:space="0" w:color="auto"/>
        <w:left w:val="none" w:sz="0" w:space="0" w:color="auto"/>
        <w:bottom w:val="none" w:sz="0" w:space="0" w:color="auto"/>
        <w:right w:val="none" w:sz="0" w:space="0" w:color="auto"/>
      </w:divBdr>
    </w:div>
    <w:div w:id="1177035294">
      <w:bodyDiv w:val="1"/>
      <w:marLeft w:val="0"/>
      <w:marRight w:val="0"/>
      <w:marTop w:val="0"/>
      <w:marBottom w:val="0"/>
      <w:divBdr>
        <w:top w:val="none" w:sz="0" w:space="0" w:color="auto"/>
        <w:left w:val="none" w:sz="0" w:space="0" w:color="auto"/>
        <w:bottom w:val="none" w:sz="0" w:space="0" w:color="auto"/>
        <w:right w:val="none" w:sz="0" w:space="0" w:color="auto"/>
      </w:divBdr>
    </w:div>
    <w:div w:id="1240140570">
      <w:bodyDiv w:val="1"/>
      <w:marLeft w:val="0"/>
      <w:marRight w:val="0"/>
      <w:marTop w:val="0"/>
      <w:marBottom w:val="0"/>
      <w:divBdr>
        <w:top w:val="none" w:sz="0" w:space="0" w:color="auto"/>
        <w:left w:val="none" w:sz="0" w:space="0" w:color="auto"/>
        <w:bottom w:val="none" w:sz="0" w:space="0" w:color="auto"/>
        <w:right w:val="none" w:sz="0" w:space="0" w:color="auto"/>
      </w:divBdr>
    </w:div>
    <w:div w:id="1326936336">
      <w:bodyDiv w:val="1"/>
      <w:marLeft w:val="0"/>
      <w:marRight w:val="0"/>
      <w:marTop w:val="0"/>
      <w:marBottom w:val="0"/>
      <w:divBdr>
        <w:top w:val="none" w:sz="0" w:space="0" w:color="auto"/>
        <w:left w:val="none" w:sz="0" w:space="0" w:color="auto"/>
        <w:bottom w:val="none" w:sz="0" w:space="0" w:color="auto"/>
        <w:right w:val="none" w:sz="0" w:space="0" w:color="auto"/>
      </w:divBdr>
    </w:div>
    <w:div w:id="1355764912">
      <w:bodyDiv w:val="1"/>
      <w:marLeft w:val="0"/>
      <w:marRight w:val="0"/>
      <w:marTop w:val="0"/>
      <w:marBottom w:val="0"/>
      <w:divBdr>
        <w:top w:val="none" w:sz="0" w:space="0" w:color="auto"/>
        <w:left w:val="none" w:sz="0" w:space="0" w:color="auto"/>
        <w:bottom w:val="none" w:sz="0" w:space="0" w:color="auto"/>
        <w:right w:val="none" w:sz="0" w:space="0" w:color="auto"/>
      </w:divBdr>
    </w:div>
    <w:div w:id="1621524276">
      <w:bodyDiv w:val="1"/>
      <w:marLeft w:val="0"/>
      <w:marRight w:val="0"/>
      <w:marTop w:val="0"/>
      <w:marBottom w:val="0"/>
      <w:divBdr>
        <w:top w:val="none" w:sz="0" w:space="0" w:color="auto"/>
        <w:left w:val="none" w:sz="0" w:space="0" w:color="auto"/>
        <w:bottom w:val="none" w:sz="0" w:space="0" w:color="auto"/>
        <w:right w:val="none" w:sz="0" w:space="0" w:color="auto"/>
      </w:divBdr>
    </w:div>
    <w:div w:id="1723139106">
      <w:bodyDiv w:val="1"/>
      <w:marLeft w:val="0"/>
      <w:marRight w:val="0"/>
      <w:marTop w:val="0"/>
      <w:marBottom w:val="0"/>
      <w:divBdr>
        <w:top w:val="none" w:sz="0" w:space="0" w:color="auto"/>
        <w:left w:val="none" w:sz="0" w:space="0" w:color="auto"/>
        <w:bottom w:val="none" w:sz="0" w:space="0" w:color="auto"/>
        <w:right w:val="none" w:sz="0" w:space="0" w:color="auto"/>
      </w:divBdr>
    </w:div>
    <w:div w:id="1740513082">
      <w:bodyDiv w:val="1"/>
      <w:marLeft w:val="0"/>
      <w:marRight w:val="0"/>
      <w:marTop w:val="0"/>
      <w:marBottom w:val="0"/>
      <w:divBdr>
        <w:top w:val="none" w:sz="0" w:space="0" w:color="auto"/>
        <w:left w:val="none" w:sz="0" w:space="0" w:color="auto"/>
        <w:bottom w:val="none" w:sz="0" w:space="0" w:color="auto"/>
        <w:right w:val="none" w:sz="0" w:space="0" w:color="auto"/>
      </w:divBdr>
    </w:div>
    <w:div w:id="1823614921">
      <w:bodyDiv w:val="1"/>
      <w:marLeft w:val="0"/>
      <w:marRight w:val="0"/>
      <w:marTop w:val="0"/>
      <w:marBottom w:val="0"/>
      <w:divBdr>
        <w:top w:val="none" w:sz="0" w:space="0" w:color="auto"/>
        <w:left w:val="none" w:sz="0" w:space="0" w:color="auto"/>
        <w:bottom w:val="none" w:sz="0" w:space="0" w:color="auto"/>
        <w:right w:val="none" w:sz="0" w:space="0" w:color="auto"/>
      </w:divBdr>
    </w:div>
    <w:div w:id="1842891929">
      <w:bodyDiv w:val="1"/>
      <w:marLeft w:val="0"/>
      <w:marRight w:val="0"/>
      <w:marTop w:val="0"/>
      <w:marBottom w:val="0"/>
      <w:divBdr>
        <w:top w:val="none" w:sz="0" w:space="0" w:color="auto"/>
        <w:left w:val="none" w:sz="0" w:space="0" w:color="auto"/>
        <w:bottom w:val="none" w:sz="0" w:space="0" w:color="auto"/>
        <w:right w:val="none" w:sz="0" w:space="0" w:color="auto"/>
      </w:divBdr>
    </w:div>
    <w:div w:id="1899700717">
      <w:bodyDiv w:val="1"/>
      <w:marLeft w:val="0"/>
      <w:marRight w:val="0"/>
      <w:marTop w:val="0"/>
      <w:marBottom w:val="0"/>
      <w:divBdr>
        <w:top w:val="none" w:sz="0" w:space="0" w:color="auto"/>
        <w:left w:val="none" w:sz="0" w:space="0" w:color="auto"/>
        <w:bottom w:val="none" w:sz="0" w:space="0" w:color="auto"/>
        <w:right w:val="none" w:sz="0" w:space="0" w:color="auto"/>
      </w:divBdr>
    </w:div>
    <w:div w:id="1974745384">
      <w:bodyDiv w:val="1"/>
      <w:marLeft w:val="0"/>
      <w:marRight w:val="0"/>
      <w:marTop w:val="0"/>
      <w:marBottom w:val="0"/>
      <w:divBdr>
        <w:top w:val="none" w:sz="0" w:space="0" w:color="auto"/>
        <w:left w:val="none" w:sz="0" w:space="0" w:color="auto"/>
        <w:bottom w:val="none" w:sz="0" w:space="0" w:color="auto"/>
        <w:right w:val="none" w:sz="0" w:space="0" w:color="auto"/>
      </w:divBdr>
    </w:div>
    <w:div w:id="1992827924">
      <w:bodyDiv w:val="1"/>
      <w:marLeft w:val="0"/>
      <w:marRight w:val="0"/>
      <w:marTop w:val="0"/>
      <w:marBottom w:val="0"/>
      <w:divBdr>
        <w:top w:val="none" w:sz="0" w:space="0" w:color="auto"/>
        <w:left w:val="none" w:sz="0" w:space="0" w:color="auto"/>
        <w:bottom w:val="none" w:sz="0" w:space="0" w:color="auto"/>
        <w:right w:val="none" w:sz="0" w:space="0" w:color="auto"/>
      </w:divBdr>
    </w:div>
    <w:div w:id="20368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8/506/cont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F9CC94F366D44DAB79E9104EE7D0C7" ma:contentTypeVersion="6" ma:contentTypeDescription="Create a new document." ma:contentTypeScope="" ma:versionID="8c65a5ddbdd7d072e845fb92b291dc44">
  <xsd:schema xmlns:xsd="http://www.w3.org/2001/XMLSchema" xmlns:xs="http://www.w3.org/2001/XMLSchema" xmlns:p="http://schemas.microsoft.com/office/2006/metadata/properties" xmlns:ns3="6a3a28f7-1a96-49cf-a624-7b1a1bd39762" targetNamespace="http://schemas.microsoft.com/office/2006/metadata/properties" ma:root="true" ma:fieldsID="425aee8f6dd99fb2c53b587fb80d6c57" ns3:_="">
    <xsd:import namespace="6a3a28f7-1a96-49cf-a624-7b1a1bd397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a28f7-1a96-49cf-a624-7b1a1bd39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E76E0-C50E-4EF7-BF92-2ED73BA12E4A}">
  <ds:schemaRefs>
    <ds:schemaRef ds:uri="http://schemas.microsoft.com/sharepoint/v3/contenttype/forms"/>
  </ds:schemaRefs>
</ds:datastoreItem>
</file>

<file path=customXml/itemProps2.xml><?xml version="1.0" encoding="utf-8"?>
<ds:datastoreItem xmlns:ds="http://schemas.openxmlformats.org/officeDocument/2006/customXml" ds:itemID="{7C7B9057-AEAC-4CD7-B984-80EC3FD3F38A}">
  <ds:schemaRefs>
    <ds:schemaRef ds:uri="http://schemas.openxmlformats.org/officeDocument/2006/bibliography"/>
  </ds:schemaRefs>
</ds:datastoreItem>
</file>

<file path=customXml/itemProps3.xml><?xml version="1.0" encoding="utf-8"?>
<ds:datastoreItem xmlns:ds="http://schemas.openxmlformats.org/officeDocument/2006/customXml" ds:itemID="{8278F889-3F14-4D89-8CC1-7882BD96D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a28f7-1a96-49cf-a624-7b1a1bd39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5E50B-6071-472A-87B4-B60955377A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20191028 Doc 06.01 September Management Accounts</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20191028 Doc 06.01 September Management Accounts</dc:title>
  <dc:creator>Andrew Hubert</dc:creator>
  <cp:lastModifiedBy>Diana Rutkowski</cp:lastModifiedBy>
  <cp:revision>2</cp:revision>
  <cp:lastPrinted>2019-08-15T10:38:00Z</cp:lastPrinted>
  <dcterms:created xsi:type="dcterms:W3CDTF">2021-11-15T14:41:00Z</dcterms:created>
  <dcterms:modified xsi:type="dcterms:W3CDTF">2021-11-15T14:41:00Z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0x0101004BF9CC94F366D44DAB79E9104EE7D0C7</vt:lpwstr>
  </property>
  <property fmtid="{D5CDD505-2E9C-101B-9397-08002B2CF9AE}" pid="3" name="_dlc_DocIdItemGuid">
    <vt:lpwstr>867f7408-fca7-49b8-abc2-8fc0feea1cd4</vt:lpwstr>
  </property>
  <property fmtid="{D5CDD505-2E9C-101B-9397-08002B2CF9AE}" pid="4" name="TaxKeyword">
    <vt:lpwstr/>
  </property>
  <property fmtid="{D5CDD505-2E9C-101B-9397-08002B2CF9AE}" pid="5" name="MeridioDate">
    <vt:lpwstr>2017</vt:lpwstr>
  </property>
  <property fmtid="{D5CDD505-2E9C-101B-9397-08002B2CF9AE}" pid="6" name="MeridioMigration">
    <vt:bool>true</vt:bool>
  </property>
  <property fmtid="{D5CDD505-2E9C-101B-9397-08002B2CF9AE}" pid="7" name="TaxKeywordTaxHTField">
    <vt:lpwstr/>
  </property>
</Properties>
</file>